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2779E">
      <w:bookmarkStart w:id="40" w:name="_GoBack"/>
      <w:bookmarkEnd w:id="40"/>
    </w:p>
    <w:p w14:paraId="5FB80F6E">
      <w:pPr>
        <w:pageBreakBefore w:val="0"/>
        <w:widowControl w:val="0"/>
        <w:kinsoku/>
        <w:wordWrap/>
        <w:topLinePunct w:val="0"/>
        <w:autoSpaceDE/>
        <w:autoSpaceDN/>
        <w:bidi w:val="0"/>
        <w:spacing w:line="560" w:lineRule="exact"/>
        <w:ind w:left="0" w:leftChars="0" w:firstLine="0" w:firstLineChars="0"/>
        <w:textAlignment w:val="auto"/>
        <w:rPr>
          <w:rFonts w:hint="eastAsia" w:ascii="宋体" w:hAnsi="宋体" w:eastAsia="宋体" w:cs="宋体"/>
          <w:b w:val="0"/>
          <w:bCs/>
          <w:color w:val="auto"/>
          <w:kern w:val="0"/>
          <w:sz w:val="24"/>
          <w:szCs w:val="24"/>
          <w:lang w:val="en-US" w:eastAsia="zh-CN" w:bidi="en-US"/>
        </w:rPr>
      </w:pPr>
    </w:p>
    <w:p w14:paraId="24A25762">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w:t>
      </w:r>
      <w:bookmarkStart w:id="0" w:name="OLE_LINK10"/>
      <w:r>
        <w:rPr>
          <w:rFonts w:hint="eastAsia" w:ascii="黑体" w:hAnsi="黑体" w:eastAsia="黑体" w:cs="黑体"/>
          <w:b/>
          <w:color w:val="000000"/>
          <w:sz w:val="36"/>
          <w:szCs w:val="36"/>
          <w:highlight w:val="none"/>
          <w:lang w:val="en-US" w:eastAsia="zh-CN"/>
        </w:rPr>
        <w:t>洛浦县</w:t>
      </w:r>
      <w:bookmarkEnd w:id="0"/>
      <w:r>
        <w:rPr>
          <w:rFonts w:hint="eastAsia" w:ascii="黑体" w:hAnsi="黑体" w:eastAsia="黑体" w:cs="黑体"/>
          <w:b/>
          <w:color w:val="000000"/>
          <w:sz w:val="36"/>
          <w:szCs w:val="36"/>
          <w:highlight w:val="none"/>
          <w:lang w:val="en-US" w:eastAsia="zh-CN"/>
        </w:rPr>
        <w:t>2024年土地指标跨省域调剂收入</w:t>
      </w:r>
    </w:p>
    <w:p w14:paraId="5D61BE2C">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安排的支出预算项目支出绩效评价报告</w:t>
      </w:r>
    </w:p>
    <w:p w14:paraId="3B25653B">
      <w:pPr>
        <w:pStyle w:val="6"/>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03C55988">
      <w:pPr>
        <w:pageBreakBefore w:val="0"/>
        <w:widowControl w:val="0"/>
        <w:kinsoku/>
        <w:wordWrap/>
        <w:topLinePunct w:val="0"/>
        <w:autoSpaceDE/>
        <w:autoSpaceDN/>
        <w:bidi w:val="0"/>
        <w:spacing w:line="560" w:lineRule="exact"/>
        <w:ind w:left="0" w:leftChars="0" w:firstLine="0" w:firstLineChars="0"/>
        <w:jc w:val="center"/>
        <w:textAlignment w:val="auto"/>
        <w:rPr>
          <w:rFonts w:hint="eastAsia" w:ascii="宋体" w:hAnsi="宋体" w:eastAsia="宋体" w:cs="宋体"/>
          <w:b w:val="0"/>
          <w:bCs/>
          <w:color w:val="auto"/>
          <w:kern w:val="0"/>
          <w:sz w:val="24"/>
          <w:szCs w:val="24"/>
          <w:lang w:bidi="en-US"/>
        </w:rPr>
      </w:pPr>
    </w:p>
    <w:p w14:paraId="6E13D7E9">
      <w:pPr>
        <w:pageBreakBefore w:val="0"/>
        <w:widowControl w:val="0"/>
        <w:kinsoku/>
        <w:wordWrap/>
        <w:topLinePunct w:val="0"/>
        <w:autoSpaceDE/>
        <w:autoSpaceDN/>
        <w:bidi w:val="0"/>
        <w:spacing w:line="560" w:lineRule="exact"/>
        <w:ind w:left="0" w:leftChars="0" w:firstLine="0" w:firstLineChars="0"/>
        <w:jc w:val="center"/>
        <w:textAlignment w:val="auto"/>
        <w:rPr>
          <w:rFonts w:hint="eastAsia" w:ascii="宋体" w:hAnsi="宋体" w:eastAsia="宋体" w:cs="宋体"/>
          <w:b w:val="0"/>
          <w:bCs/>
          <w:color w:val="auto"/>
          <w:kern w:val="0"/>
          <w:sz w:val="24"/>
          <w:szCs w:val="24"/>
          <w:lang w:bidi="en-US"/>
        </w:rPr>
      </w:pPr>
    </w:p>
    <w:p w14:paraId="51788758">
      <w:pPr>
        <w:pStyle w:val="6"/>
        <w:rPr>
          <w:rFonts w:hint="eastAsia" w:ascii="宋体" w:hAnsi="宋体" w:eastAsia="宋体" w:cs="宋体"/>
          <w:b w:val="0"/>
          <w:bCs/>
          <w:color w:val="auto"/>
          <w:kern w:val="0"/>
          <w:sz w:val="24"/>
          <w:szCs w:val="24"/>
          <w:lang w:bidi="en-US"/>
        </w:rPr>
      </w:pPr>
    </w:p>
    <w:p w14:paraId="6F0A77E3">
      <w:pPr>
        <w:rPr>
          <w:rFonts w:hint="eastAsia" w:ascii="宋体" w:hAnsi="宋体" w:eastAsia="宋体" w:cs="宋体"/>
          <w:b w:val="0"/>
          <w:bCs/>
          <w:color w:val="auto"/>
          <w:kern w:val="0"/>
          <w:sz w:val="24"/>
          <w:szCs w:val="24"/>
          <w:lang w:bidi="en-US"/>
        </w:rPr>
      </w:pPr>
    </w:p>
    <w:p w14:paraId="1C560B57">
      <w:pPr>
        <w:pStyle w:val="6"/>
        <w:rPr>
          <w:rFonts w:hint="eastAsia" w:ascii="宋体" w:hAnsi="宋体" w:eastAsia="宋体" w:cs="宋体"/>
          <w:b w:val="0"/>
          <w:bCs/>
          <w:color w:val="auto"/>
          <w:sz w:val="24"/>
          <w:szCs w:val="24"/>
        </w:rPr>
      </w:pPr>
    </w:p>
    <w:p w14:paraId="3CA9BA84">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ascii="宋体" w:hAnsi="宋体" w:eastAsia="宋体" w:cs="宋体"/>
          <w:b w:val="0"/>
          <w:bCs/>
          <w:color w:val="auto"/>
          <w:sz w:val="24"/>
          <w:szCs w:val="24"/>
          <w:lang w:bidi="en-US"/>
        </w:rPr>
      </w:pPr>
    </w:p>
    <w:p w14:paraId="352F48DB">
      <w:pPr>
        <w:pageBreakBefore w:val="0"/>
        <w:widowControl w:val="0"/>
        <w:kinsoku/>
        <w:wordWrap/>
        <w:topLinePunct w:val="0"/>
        <w:autoSpaceDE/>
        <w:autoSpaceDN/>
        <w:bidi w:val="0"/>
        <w:spacing w:line="560" w:lineRule="exact"/>
        <w:ind w:left="0" w:leftChars="0" w:firstLine="0" w:firstLineChars="0"/>
        <w:jc w:val="left"/>
        <w:textAlignment w:val="auto"/>
        <w:rPr>
          <w:rFonts w:hint="eastAsia" w:ascii="宋体" w:hAnsi="宋体" w:eastAsia="宋体" w:cs="宋体"/>
          <w:b/>
          <w:bCs/>
          <w:color w:val="000000"/>
          <w:kern w:val="0"/>
          <w:sz w:val="28"/>
          <w:szCs w:val="28"/>
          <w:highlight w:val="none"/>
          <w:lang w:bidi="en-US"/>
        </w:rPr>
      </w:pPr>
    </w:p>
    <w:p w14:paraId="4504F2D3">
      <w:pPr>
        <w:pageBreakBefore w:val="0"/>
        <w:widowControl w:val="0"/>
        <w:kinsoku/>
        <w:wordWrap/>
        <w:topLinePunct w:val="0"/>
        <w:autoSpaceDE/>
        <w:autoSpaceDN/>
        <w:bidi w:val="0"/>
        <w:spacing w:line="560" w:lineRule="exact"/>
        <w:ind w:firstLine="1120" w:firstLineChars="400"/>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w:t>
      </w:r>
      <w:r>
        <w:rPr>
          <w:rFonts w:hint="eastAsia" w:ascii="宋体" w:hAnsi="宋体" w:eastAsia="宋体" w:cs="宋体"/>
          <w:b/>
          <w:bCs/>
          <w:color w:val="000000"/>
          <w:kern w:val="0"/>
          <w:sz w:val="28"/>
          <w:szCs w:val="28"/>
          <w:highlight w:val="none"/>
          <w:lang w:eastAsia="zh-CN" w:bidi="en-US"/>
        </w:rPr>
        <w:t>：</w:t>
      </w:r>
      <w:r>
        <w:rPr>
          <w:rFonts w:hint="eastAsia" w:ascii="宋体" w:hAnsi="宋体" w:eastAsia="宋体" w:cs="宋体"/>
          <w:b/>
          <w:bCs/>
          <w:color w:val="000000"/>
          <w:kern w:val="0"/>
          <w:sz w:val="28"/>
          <w:szCs w:val="28"/>
          <w:highlight w:val="none"/>
          <w:lang w:bidi="en-US"/>
        </w:rPr>
        <w:t>2024年土地指标跨省域调剂收入安排的支出预算项目</w:t>
      </w:r>
    </w:p>
    <w:p w14:paraId="000EB69A">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项目单位：</w:t>
      </w:r>
      <w:bookmarkStart w:id="1" w:name="OLE_LINK1"/>
      <w:r>
        <w:rPr>
          <w:rFonts w:hint="eastAsia" w:ascii="宋体" w:hAnsi="宋体" w:eastAsia="宋体" w:cs="宋体"/>
          <w:b/>
          <w:bCs/>
          <w:color w:val="000000"/>
          <w:kern w:val="0"/>
          <w:sz w:val="28"/>
          <w:szCs w:val="28"/>
          <w:highlight w:val="none"/>
          <w:lang w:eastAsia="zh-CN" w:bidi="en-US"/>
        </w:rPr>
        <w:t>洛浦县自然资源局</w:t>
      </w:r>
      <w:bookmarkEnd w:id="1"/>
    </w:p>
    <w:p w14:paraId="2E65DB8A">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val="en-US" w:eastAsia="zh-CN" w:bidi="en-US"/>
        </w:rPr>
        <w:t>洛浦县</w:t>
      </w:r>
      <w:r>
        <w:rPr>
          <w:rFonts w:hint="eastAsia" w:ascii="宋体" w:hAnsi="宋体" w:eastAsia="宋体" w:cs="宋体"/>
          <w:b/>
          <w:bCs/>
          <w:color w:val="000000"/>
          <w:kern w:val="0"/>
          <w:sz w:val="28"/>
          <w:szCs w:val="28"/>
          <w:highlight w:val="none"/>
          <w:lang w:bidi="en-US"/>
        </w:rPr>
        <w:t>自然资源局</w:t>
      </w:r>
    </w:p>
    <w:p w14:paraId="5EB92899">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艾力</w:t>
      </w:r>
      <w:r>
        <w:rPr>
          <w:rFonts w:hint="eastAsia" w:ascii="宋体" w:hAnsi="宋体" w:eastAsia="宋体" w:cs="宋体"/>
          <w:b/>
          <w:bCs/>
          <w:color w:val="000000"/>
          <w:kern w:val="0"/>
          <w:sz w:val="28"/>
          <w:szCs w:val="28"/>
          <w:highlight w:val="none"/>
          <w:lang w:val="en-US" w:eastAsia="zh-CN" w:bidi="en-US"/>
        </w:rPr>
        <w:t>·衣明</w:t>
      </w:r>
    </w:p>
    <w:p w14:paraId="77C0030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13</w:t>
      </w:r>
      <w:r>
        <w:rPr>
          <w:rFonts w:hint="eastAsia" w:ascii="宋体" w:hAnsi="宋体" w:eastAsia="宋体" w:cs="宋体"/>
          <w:b/>
          <w:bCs/>
          <w:color w:val="000000"/>
          <w:kern w:val="0"/>
          <w:sz w:val="28"/>
          <w:szCs w:val="28"/>
          <w:highlight w:val="none"/>
          <w:lang w:bidi="en-US"/>
        </w:rPr>
        <w:t>日</w:t>
      </w:r>
    </w:p>
    <w:p w14:paraId="447A2555">
      <w:pPr>
        <w:pStyle w:val="2"/>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06449921">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2"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2"/>
    </w:p>
    <w:p w14:paraId="2F5AC1BC">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46109F7D">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sz w:val="24"/>
          <w:szCs w:val="24"/>
          <w:highlight w:val="none"/>
        </w:rPr>
        <w:t>为深入贯彻党中央、国务院关于支持深度贫困地区脱贫攻坚的战略部署，洛浦县自然资源局根据</w:t>
      </w:r>
      <w:bookmarkStart w:id="3" w:name="OLE_LINK9"/>
      <w:r>
        <w:rPr>
          <w:rFonts w:hint="eastAsia" w:ascii="宋体" w:hAnsi="宋体" w:eastAsia="宋体" w:cs="宋体"/>
          <w:sz w:val="24"/>
          <w:szCs w:val="24"/>
          <w:highlight w:val="none"/>
        </w:rPr>
        <w:t>《中共中央办公厅国务院办公厅印发&lt;关于支持深度贫困地区脱贫攻坚的实施意见&gt;的通知》（厅字〔2017〕41号）、《国务院办公厅关于印发跨省域补充耕地国家统筹管理办法和城乡建设用地增减挂钩节余指标跨省域调剂管理办法的通知》（国办发〔2018〕16号）等文件</w:t>
      </w:r>
      <w:bookmarkEnd w:id="3"/>
      <w:r>
        <w:rPr>
          <w:rFonts w:hint="eastAsia" w:ascii="宋体" w:hAnsi="宋体" w:eastAsia="宋体" w:cs="宋体"/>
          <w:sz w:val="24"/>
          <w:szCs w:val="24"/>
          <w:highlight w:val="none"/>
        </w:rPr>
        <w:t>精神，积极推进城乡建设用地增减挂钩项目，旨在通过土地复垦、拆旧区安置补偿等措施，增加耕地面积，改善土地环境，促进新农村建设，巩固拓展脱贫攻坚成果，支持乡村振兴战略。</w:t>
      </w:r>
    </w:p>
    <w:p w14:paraId="13F1228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769EDB84">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389F77D7">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根据</w:t>
      </w:r>
      <w:r>
        <w:rPr>
          <w:rFonts w:hint="eastAsia" w:ascii="宋体" w:hAnsi="宋体" w:eastAsia="宋体" w:cs="宋体"/>
          <w:sz w:val="24"/>
          <w:szCs w:val="24"/>
          <w:highlight w:val="none"/>
        </w:rPr>
        <w:t>和地财综【2024】9号文件精神实施该项目，主要内容：涉及土地复垦项目地点数量5个，充分发挥自然资源（国土资源）政策对脱贫攻坚的支持促进作用，加快推进新农村建设。</w:t>
      </w:r>
    </w:p>
    <w:p w14:paraId="0574190B">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238072D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08F14479">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本项目主管部门为洛浦县自然资源局，实施单位为洛浦县自然资源局。</w:t>
      </w:r>
    </w:p>
    <w:p w14:paraId="15759DCC">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27699D4E">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2024年06月24日至2024年12月31日</w:t>
      </w:r>
    </w:p>
    <w:p w14:paraId="594E906C">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sz w:val="24"/>
          <w:szCs w:val="24"/>
          <w:highlight w:val="none"/>
          <w:lang w:val="en-US" w:eastAsia="zh-CN"/>
        </w:rPr>
        <w:t>3）项目实施情况</w:t>
      </w:r>
    </w:p>
    <w:p w14:paraId="0B73FB67">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本项目于2024年12月31日前全部完工。</w:t>
      </w:r>
    </w:p>
    <w:p w14:paraId="4588EAE4">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本项目2024年6月24日经</w:t>
      </w:r>
      <w:bookmarkStart w:id="4" w:name="OLE_LINK12"/>
      <w:r>
        <w:rPr>
          <w:rFonts w:hint="eastAsia" w:ascii="宋体" w:hAnsi="宋体" w:eastAsia="宋体" w:cs="宋体"/>
          <w:b w:val="0"/>
          <w:bCs/>
          <w:color w:val="auto"/>
          <w:sz w:val="24"/>
          <w:szCs w:val="24"/>
          <w:lang w:val="en-US" w:eastAsia="zh-CN"/>
        </w:rPr>
        <w:t>地区发改委下达《关于下达2024年土地指标跨省域调剂收入安排的支出预算的通知》（和地财综〔2024〕9号）</w:t>
      </w:r>
      <w:bookmarkEnd w:id="4"/>
      <w:r>
        <w:rPr>
          <w:rFonts w:hint="eastAsia" w:ascii="宋体" w:hAnsi="宋体" w:eastAsia="宋体" w:cs="宋体"/>
          <w:b w:val="0"/>
          <w:bCs/>
          <w:color w:val="auto"/>
          <w:sz w:val="24"/>
          <w:szCs w:val="24"/>
          <w:lang w:val="en-US" w:eastAsia="zh-CN"/>
        </w:rPr>
        <w:t>，由</w:t>
      </w:r>
      <w:bookmarkStart w:id="5" w:name="OLE_LINK13"/>
      <w:r>
        <w:rPr>
          <w:rFonts w:hint="eastAsia" w:ascii="宋体" w:hAnsi="宋体" w:eastAsia="宋体" w:cs="宋体"/>
          <w:b w:val="0"/>
          <w:bCs/>
          <w:color w:val="auto"/>
          <w:sz w:val="24"/>
          <w:szCs w:val="24"/>
          <w:lang w:val="en-US" w:eastAsia="zh-CN"/>
        </w:rPr>
        <w:t>新疆吉农土地勘测规划设计院有限公司和新疆中地信土地勘测规划咨询有限公司、广州鸿鑫动测技术有限公司</w:t>
      </w:r>
      <w:bookmarkEnd w:id="5"/>
      <w:r>
        <w:rPr>
          <w:rFonts w:hint="eastAsia" w:ascii="宋体" w:hAnsi="宋体" w:eastAsia="宋体" w:cs="宋体"/>
          <w:b w:val="0"/>
          <w:bCs/>
          <w:color w:val="auto"/>
          <w:sz w:val="24"/>
          <w:szCs w:val="24"/>
          <w:lang w:val="en-US" w:eastAsia="zh-CN"/>
        </w:rPr>
        <w:t>勘测编制可行性研究报告和初步设计报告，项目采用公开招标方式确定施工单位为新疆智友建设工程有限公司，新疆益海恒通建筑工程有限公司，新疆益源达建设工程有限公司，新疆广泰建设工程有限公司，新疆博通伟业水利工程有限公司，并签订了施工合同，确定监理单位为新疆金烨工程项目管理有限公司签订监理合同。由新疆天壹中山工程咨询有限公司和湖北众恒永业工程项目项目管理有限公司进行决算审计。</w:t>
      </w:r>
    </w:p>
    <w:p w14:paraId="0116C78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4677DEF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179AA4B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本项目预算安排总额为</w:t>
      </w:r>
      <w:r>
        <w:rPr>
          <w:rFonts w:hint="eastAsia" w:ascii="宋体" w:hAnsi="宋体" w:eastAsia="宋体" w:cs="宋体"/>
          <w:b w:val="0"/>
          <w:bCs/>
          <w:color w:val="auto"/>
          <w:sz w:val="24"/>
          <w:szCs w:val="24"/>
          <w:lang w:val="en-US" w:eastAsia="zh-CN"/>
        </w:rPr>
        <w:t>936.81</w:t>
      </w:r>
      <w:r>
        <w:rPr>
          <w:rFonts w:hint="eastAsia" w:ascii="宋体" w:hAnsi="宋体" w:eastAsia="宋体" w:cs="宋体"/>
          <w:b w:val="0"/>
          <w:bCs/>
          <w:color w:val="auto"/>
          <w:sz w:val="24"/>
          <w:szCs w:val="24"/>
        </w:rPr>
        <w:t>万元，资金来源为</w:t>
      </w:r>
      <w:r>
        <w:rPr>
          <w:rFonts w:hint="eastAsia" w:ascii="宋体" w:hAnsi="宋体" w:eastAsia="宋体" w:cs="宋体"/>
          <w:b w:val="0"/>
          <w:bCs/>
          <w:color w:val="auto"/>
          <w:sz w:val="24"/>
          <w:szCs w:val="24"/>
          <w:lang w:eastAsia="zh-CN"/>
        </w:rPr>
        <w:t>行业资金，</w:t>
      </w:r>
      <w:r>
        <w:rPr>
          <w:rFonts w:hint="eastAsia" w:ascii="宋体" w:hAnsi="宋体" w:eastAsia="宋体" w:cs="宋体"/>
          <w:b w:val="0"/>
          <w:bCs/>
          <w:color w:val="auto"/>
          <w:sz w:val="24"/>
          <w:szCs w:val="24"/>
        </w:rPr>
        <w:t>其中：财政资金</w:t>
      </w:r>
      <w:r>
        <w:rPr>
          <w:rFonts w:hint="eastAsia" w:ascii="宋体" w:hAnsi="宋体" w:eastAsia="宋体" w:cs="宋体"/>
          <w:b w:val="0"/>
          <w:bCs/>
          <w:color w:val="auto"/>
          <w:sz w:val="24"/>
          <w:szCs w:val="24"/>
          <w:lang w:val="en-US" w:eastAsia="zh-CN"/>
        </w:rPr>
        <w:t>936.81</w:t>
      </w:r>
      <w:r>
        <w:rPr>
          <w:rFonts w:hint="eastAsia" w:ascii="宋体" w:hAnsi="宋体" w:eastAsia="宋体" w:cs="宋体"/>
          <w:b w:val="0"/>
          <w:bCs/>
          <w:color w:val="auto"/>
          <w:sz w:val="24"/>
          <w:szCs w:val="24"/>
        </w:rPr>
        <w:t>万元，其他资金</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含自有资金、社会资金及以前年度结转结余资金）0</w:t>
      </w:r>
      <w:r>
        <w:rPr>
          <w:rFonts w:hint="eastAsia" w:ascii="宋体" w:hAnsi="宋体" w:eastAsia="宋体" w:cs="宋体"/>
          <w:b w:val="0"/>
          <w:bCs/>
          <w:color w:val="auto"/>
          <w:sz w:val="24"/>
          <w:szCs w:val="24"/>
        </w:rPr>
        <w:t>万元，202</w:t>
      </w:r>
      <w:r>
        <w:rPr>
          <w:rFonts w:hint="eastAsia" w:ascii="宋体" w:hAnsi="宋体" w:eastAsia="宋体" w:cs="宋体"/>
          <w:b w:val="0"/>
          <w:bCs/>
          <w:color w:val="auto"/>
          <w:sz w:val="24"/>
          <w:szCs w:val="24"/>
          <w:lang w:val="en-US" w:eastAsia="zh-CN"/>
        </w:rPr>
        <w:t>4</w:t>
      </w:r>
      <w:r>
        <w:rPr>
          <w:rFonts w:hint="eastAsia" w:ascii="宋体" w:hAnsi="宋体" w:eastAsia="宋体" w:cs="宋体"/>
          <w:b w:val="0"/>
          <w:bCs/>
          <w:color w:val="auto"/>
          <w:sz w:val="24"/>
          <w:szCs w:val="24"/>
        </w:rPr>
        <w:t>年实际收到预算资金</w:t>
      </w:r>
      <w:r>
        <w:rPr>
          <w:rFonts w:hint="eastAsia" w:ascii="宋体" w:hAnsi="宋体" w:eastAsia="宋体" w:cs="宋体"/>
          <w:b w:val="0"/>
          <w:bCs/>
          <w:color w:val="auto"/>
          <w:sz w:val="24"/>
          <w:szCs w:val="24"/>
          <w:lang w:val="en-US" w:eastAsia="zh-CN"/>
        </w:rPr>
        <w:t>936.81</w:t>
      </w:r>
      <w:r>
        <w:rPr>
          <w:rFonts w:hint="eastAsia" w:ascii="宋体" w:hAnsi="宋体" w:eastAsia="宋体" w:cs="宋体"/>
          <w:b w:val="0"/>
          <w:bCs/>
          <w:color w:val="auto"/>
          <w:sz w:val="24"/>
          <w:szCs w:val="24"/>
        </w:rPr>
        <w:t>万元，资金到位率为</w:t>
      </w:r>
      <w:r>
        <w:rPr>
          <w:rFonts w:hint="eastAsia" w:ascii="宋体" w:hAnsi="宋体" w:eastAsia="宋体" w:cs="宋体"/>
          <w:b w:val="0"/>
          <w:bCs/>
          <w:color w:val="auto"/>
          <w:sz w:val="24"/>
          <w:szCs w:val="24"/>
          <w:lang w:val="en-US" w:eastAsia="zh-CN"/>
        </w:rPr>
        <w:t>100</w:t>
      </w:r>
      <w:r>
        <w:rPr>
          <w:rFonts w:hint="eastAsia" w:ascii="宋体" w:hAnsi="宋体" w:eastAsia="宋体" w:cs="宋体"/>
          <w:b w:val="0"/>
          <w:bCs/>
          <w:color w:val="auto"/>
          <w:sz w:val="24"/>
          <w:szCs w:val="24"/>
        </w:rPr>
        <w:t>%。</w:t>
      </w:r>
    </w:p>
    <w:p w14:paraId="0409DA21">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（2）项目资金实际使用情况分析</w:t>
      </w:r>
    </w:p>
    <w:p w14:paraId="52FDF4BB">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本项目实际支付资金</w:t>
      </w:r>
      <w:r>
        <w:rPr>
          <w:rFonts w:hint="eastAsia" w:ascii="宋体" w:hAnsi="宋体" w:eastAsia="宋体" w:cs="宋体"/>
          <w:b w:val="0"/>
          <w:bCs/>
          <w:color w:val="auto"/>
          <w:sz w:val="24"/>
          <w:szCs w:val="24"/>
          <w:lang w:val="en-US" w:eastAsia="zh-CN"/>
        </w:rPr>
        <w:t>756.22</w:t>
      </w:r>
      <w:r>
        <w:rPr>
          <w:rFonts w:hint="eastAsia" w:ascii="宋体" w:hAnsi="宋体" w:eastAsia="宋体" w:cs="宋体"/>
          <w:b w:val="0"/>
          <w:bCs/>
          <w:color w:val="auto"/>
          <w:sz w:val="24"/>
          <w:szCs w:val="24"/>
        </w:rPr>
        <w:t>万元，预算执行率</w:t>
      </w:r>
      <w:r>
        <w:rPr>
          <w:rFonts w:hint="eastAsia" w:ascii="宋体" w:hAnsi="宋体" w:eastAsia="宋体" w:cs="宋体"/>
          <w:b w:val="0"/>
          <w:bCs/>
          <w:color w:val="auto"/>
          <w:sz w:val="24"/>
          <w:szCs w:val="24"/>
          <w:lang w:val="en-US" w:eastAsia="zh-CN"/>
        </w:rPr>
        <w:t>80.72</w:t>
      </w:r>
      <w:r>
        <w:rPr>
          <w:rFonts w:hint="eastAsia" w:ascii="宋体" w:hAnsi="宋体" w:eastAsia="宋体" w:cs="宋体"/>
          <w:b w:val="0"/>
          <w:bCs/>
          <w:color w:val="auto"/>
          <w:sz w:val="24"/>
          <w:szCs w:val="24"/>
        </w:rPr>
        <w:t>%。本项目资金主要用于支付</w:t>
      </w:r>
      <w:bookmarkStart w:id="6" w:name="OLE_LINK16"/>
      <w:bookmarkStart w:id="7" w:name="OLE_LINK17"/>
      <w:r>
        <w:rPr>
          <w:rFonts w:hint="eastAsia" w:ascii="宋体" w:hAnsi="宋体" w:eastAsia="宋体" w:cs="宋体"/>
          <w:b w:val="0"/>
          <w:bCs/>
          <w:color w:val="auto"/>
          <w:sz w:val="24"/>
          <w:szCs w:val="24"/>
        </w:rPr>
        <w:t>农民补偿费用</w:t>
      </w:r>
      <w:r>
        <w:rPr>
          <w:rFonts w:hint="eastAsia" w:ascii="宋体" w:hAnsi="宋体" w:eastAsia="宋体" w:cs="宋体"/>
          <w:b w:val="0"/>
          <w:bCs/>
          <w:color w:val="auto"/>
          <w:sz w:val="24"/>
          <w:szCs w:val="24"/>
          <w:lang w:val="en-US" w:eastAsia="zh-CN"/>
        </w:rPr>
        <w:t>260</w:t>
      </w:r>
      <w:r>
        <w:rPr>
          <w:rFonts w:hint="eastAsia" w:ascii="宋体" w:hAnsi="宋体" w:eastAsia="宋体" w:cs="宋体"/>
          <w:b w:val="0"/>
          <w:bCs/>
          <w:color w:val="auto"/>
          <w:sz w:val="24"/>
          <w:szCs w:val="24"/>
        </w:rPr>
        <w:t>万元、</w:t>
      </w:r>
      <w:bookmarkStart w:id="8" w:name="OLE_LINK3"/>
      <w:r>
        <w:rPr>
          <w:rFonts w:hint="eastAsia" w:ascii="宋体" w:hAnsi="宋体" w:eastAsia="宋体" w:cs="宋体"/>
          <w:b w:val="0"/>
          <w:bCs/>
          <w:color w:val="auto"/>
          <w:sz w:val="24"/>
          <w:szCs w:val="24"/>
          <w:lang w:eastAsia="zh-CN"/>
        </w:rPr>
        <w:t>审计</w:t>
      </w:r>
      <w:r>
        <w:rPr>
          <w:rFonts w:hint="eastAsia" w:ascii="宋体" w:hAnsi="宋体" w:eastAsia="宋体" w:cs="宋体"/>
          <w:b w:val="0"/>
          <w:bCs/>
          <w:color w:val="auto"/>
          <w:sz w:val="24"/>
          <w:szCs w:val="24"/>
        </w:rPr>
        <w:t>费用</w:t>
      </w:r>
      <w:r>
        <w:rPr>
          <w:rFonts w:hint="eastAsia" w:ascii="宋体" w:hAnsi="宋体" w:eastAsia="宋体" w:cs="宋体"/>
          <w:b w:val="0"/>
          <w:bCs/>
          <w:color w:val="auto"/>
          <w:sz w:val="24"/>
          <w:szCs w:val="24"/>
          <w:lang w:val="en-US" w:eastAsia="zh-CN"/>
        </w:rPr>
        <w:t>13.61</w:t>
      </w:r>
      <w:r>
        <w:rPr>
          <w:rFonts w:hint="eastAsia" w:ascii="宋体" w:hAnsi="宋体" w:eastAsia="宋体" w:cs="宋体"/>
          <w:b w:val="0"/>
          <w:bCs/>
          <w:color w:val="auto"/>
          <w:sz w:val="24"/>
          <w:szCs w:val="24"/>
        </w:rPr>
        <w:t>万元</w:t>
      </w:r>
      <w:bookmarkEnd w:id="8"/>
      <w:r>
        <w:rPr>
          <w:rFonts w:hint="eastAsia" w:ascii="宋体" w:hAnsi="宋体" w:eastAsia="宋体" w:cs="宋体"/>
          <w:b w:val="0"/>
          <w:bCs/>
          <w:color w:val="auto"/>
          <w:sz w:val="24"/>
          <w:szCs w:val="24"/>
          <w:lang w:eastAsia="zh-CN"/>
        </w:rPr>
        <w:t>，监理</w:t>
      </w:r>
      <w:r>
        <w:rPr>
          <w:rFonts w:hint="eastAsia" w:ascii="宋体" w:hAnsi="宋体" w:eastAsia="宋体" w:cs="宋体"/>
          <w:b w:val="0"/>
          <w:bCs/>
          <w:color w:val="auto"/>
          <w:sz w:val="24"/>
          <w:szCs w:val="24"/>
        </w:rPr>
        <w:t>费用</w:t>
      </w:r>
      <w:r>
        <w:rPr>
          <w:rFonts w:hint="eastAsia" w:ascii="宋体" w:hAnsi="宋体" w:eastAsia="宋体" w:cs="宋体"/>
          <w:b w:val="0"/>
          <w:bCs/>
          <w:color w:val="auto"/>
          <w:sz w:val="24"/>
          <w:szCs w:val="24"/>
          <w:lang w:val="en-US" w:eastAsia="zh-CN"/>
        </w:rPr>
        <w:t>29.31</w:t>
      </w:r>
      <w:r>
        <w:rPr>
          <w:rFonts w:hint="eastAsia" w:ascii="宋体" w:hAnsi="宋体" w:eastAsia="宋体" w:cs="宋体"/>
          <w:b w:val="0"/>
          <w:bCs/>
          <w:color w:val="auto"/>
          <w:sz w:val="24"/>
          <w:szCs w:val="24"/>
        </w:rPr>
        <w:t>万元</w:t>
      </w:r>
      <w:bookmarkEnd w:id="6"/>
      <w:r>
        <w:rPr>
          <w:rFonts w:hint="eastAsia" w:ascii="宋体" w:hAnsi="宋体" w:eastAsia="宋体" w:cs="宋体"/>
          <w:b w:val="0"/>
          <w:bCs/>
          <w:color w:val="auto"/>
          <w:sz w:val="24"/>
          <w:szCs w:val="24"/>
          <w:lang w:val="en-US" w:eastAsia="zh-CN"/>
        </w:rPr>
        <w:t>等</w:t>
      </w:r>
      <w:r>
        <w:rPr>
          <w:rFonts w:hint="eastAsia" w:ascii="宋体" w:hAnsi="宋体" w:eastAsia="宋体" w:cs="宋体"/>
          <w:b w:val="0"/>
          <w:bCs/>
          <w:color w:val="auto"/>
          <w:sz w:val="24"/>
          <w:szCs w:val="24"/>
        </w:rPr>
        <w:t>。</w:t>
      </w:r>
      <w:bookmarkEnd w:id="7"/>
    </w:p>
    <w:p w14:paraId="7CD1B47E">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lang w:eastAsia="zh-CN"/>
        </w:rPr>
      </w:pPr>
      <w:bookmarkStart w:id="9" w:name="_Toc68364659"/>
      <w:r>
        <w:rPr>
          <w:rFonts w:hint="eastAsia" w:ascii="宋体" w:hAnsi="宋体" w:eastAsia="宋体" w:cs="宋体"/>
          <w:b/>
          <w:bCs/>
          <w:color w:val="000000"/>
          <w:sz w:val="24"/>
          <w:szCs w:val="24"/>
          <w:highlight w:val="none"/>
          <w:lang w:eastAsia="zh-CN"/>
        </w:rPr>
        <w:t>（二）项目绩效目标</w:t>
      </w:r>
      <w:bookmarkEnd w:id="9"/>
    </w:p>
    <w:p w14:paraId="33FBAD6B">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项目绩效目标包括项目总</w:t>
      </w:r>
      <w:r>
        <w:rPr>
          <w:rFonts w:hint="eastAsia" w:ascii="宋体" w:hAnsi="宋体" w:eastAsia="宋体" w:cs="宋体"/>
          <w:color w:val="000000"/>
          <w:sz w:val="24"/>
          <w:szCs w:val="24"/>
          <w:highlight w:val="none"/>
          <w:lang w:val="en-US" w:eastAsia="zh-CN"/>
        </w:rPr>
        <w:t>体</w:t>
      </w:r>
      <w:r>
        <w:rPr>
          <w:rFonts w:hint="eastAsia" w:ascii="宋体" w:hAnsi="宋体" w:eastAsia="宋体" w:cs="宋体"/>
          <w:color w:val="000000"/>
          <w:sz w:val="24"/>
          <w:szCs w:val="24"/>
          <w:highlight w:val="none"/>
        </w:rPr>
        <w:t>目标和阶段性目标。</w:t>
      </w:r>
    </w:p>
    <w:p w14:paraId="1834BEB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1.总</w:t>
      </w:r>
      <w:r>
        <w:rPr>
          <w:rFonts w:hint="eastAsia" w:ascii="宋体" w:hAnsi="宋体" w:eastAsia="宋体" w:cs="宋体"/>
          <w:b/>
          <w:bCs/>
          <w:color w:val="000000"/>
          <w:sz w:val="24"/>
          <w:szCs w:val="24"/>
          <w:highlight w:val="none"/>
          <w:lang w:val="en-US" w:eastAsia="zh-CN"/>
        </w:rPr>
        <w:t>体</w:t>
      </w:r>
      <w:r>
        <w:rPr>
          <w:rFonts w:hint="eastAsia" w:ascii="宋体" w:hAnsi="宋体" w:eastAsia="宋体" w:cs="宋体"/>
          <w:b/>
          <w:bCs/>
          <w:color w:val="000000"/>
          <w:sz w:val="24"/>
          <w:szCs w:val="24"/>
          <w:highlight w:val="none"/>
        </w:rPr>
        <w:t>目标</w:t>
      </w:r>
    </w:p>
    <w:p w14:paraId="7FB4FACA">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sz w:val="24"/>
          <w:szCs w:val="24"/>
          <w:highlight w:val="none"/>
          <w:lang w:val="en-US" w:eastAsia="zh-CN"/>
        </w:rPr>
        <w:t>根据</w:t>
      </w:r>
      <w:r>
        <w:rPr>
          <w:rFonts w:hint="eastAsia" w:ascii="宋体" w:hAnsi="宋体" w:eastAsia="宋体" w:cs="宋体"/>
          <w:sz w:val="24"/>
          <w:szCs w:val="24"/>
          <w:highlight w:val="none"/>
        </w:rPr>
        <w:t>和地财综【2024】9号文件精神实施该项目，主要内容：涉及土地复垦项目地点数量5个，充分发挥自然资源（国土资源）政策对脱贫攻坚的支持促进作用，加快推进新农村建设</w:t>
      </w:r>
      <w:r>
        <w:rPr>
          <w:rFonts w:hint="eastAsia" w:ascii="宋体" w:hAnsi="宋体" w:eastAsia="宋体" w:cs="宋体"/>
          <w:color w:val="000000"/>
          <w:sz w:val="24"/>
          <w:szCs w:val="24"/>
          <w:highlight w:val="none"/>
        </w:rPr>
        <w:t>。</w:t>
      </w:r>
    </w:p>
    <w:p w14:paraId="5743A691">
      <w:pPr>
        <w:pStyle w:val="47"/>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bookmarkStart w:id="10" w:name="_Toc68364660"/>
      <w:r>
        <w:rPr>
          <w:rFonts w:hint="eastAsia" w:ascii="宋体" w:hAnsi="宋体" w:eastAsia="宋体" w:cs="宋体"/>
          <w:b/>
          <w:bCs/>
          <w:color w:val="000000"/>
          <w:sz w:val="24"/>
          <w:szCs w:val="24"/>
          <w:highlight w:val="none"/>
        </w:rPr>
        <w:t>阶段性目标</w:t>
      </w:r>
    </w:p>
    <w:p w14:paraId="3C9A55DF">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我</w:t>
      </w:r>
      <w:r>
        <w:rPr>
          <w:rFonts w:hint="eastAsia" w:ascii="宋体" w:hAnsi="宋体" w:eastAsia="宋体" w:cs="宋体"/>
          <w:b w:val="0"/>
          <w:bCs/>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4B44B38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（1）产出指标</w:t>
      </w:r>
    </w:p>
    <w:p w14:paraId="7209C41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1)数量指标:</w:t>
      </w:r>
    </w:p>
    <w:p w14:paraId="372A2AD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指标1：涉及土地复垦项目地点数量，预期指标值≥5个；</w:t>
      </w:r>
    </w:p>
    <w:p w14:paraId="2B65D02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2）质量指标：</w:t>
      </w:r>
    </w:p>
    <w:p w14:paraId="5BE54751">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指标1：资金使用合规率，预期指标值=100%；</w:t>
      </w:r>
    </w:p>
    <w:p w14:paraId="0FDE71B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rPr>
      </w:pPr>
      <w:r>
        <w:rPr>
          <w:rFonts w:hint="eastAsia" w:ascii="宋体" w:hAnsi="宋体" w:eastAsia="宋体" w:cs="宋体"/>
          <w:color w:val="000000"/>
          <w:sz w:val="24"/>
          <w:szCs w:val="24"/>
          <w:highlight w:val="none"/>
          <w:lang w:val="en-US" w:eastAsia="zh-CN"/>
        </w:rPr>
        <w:t>指标2：项目验收合格率，预期指标值=100%；</w:t>
      </w:r>
    </w:p>
    <w:p w14:paraId="63A1996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3）时效指标：</w:t>
      </w:r>
    </w:p>
    <w:p w14:paraId="08F9AA1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指标1：项目完成时间，预期指标值2024年12月；</w:t>
      </w:r>
    </w:p>
    <w:p w14:paraId="0126D176">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指标2：资金支付及时率，预期指标值=100%；</w:t>
      </w:r>
    </w:p>
    <w:p w14:paraId="3C011B06">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（2）成本指标：</w:t>
      </w:r>
    </w:p>
    <w:p w14:paraId="5A3FDE66">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1）经济成本指标</w:t>
      </w:r>
    </w:p>
    <w:p w14:paraId="30A151D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指标1：土地增减挂钩项目资金，预期指标值≤936.81万元；</w:t>
      </w:r>
    </w:p>
    <w:p w14:paraId="6C0993F6">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2）社会成本指标：</w:t>
      </w:r>
    </w:p>
    <w:p w14:paraId="32280B0B">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6D5D6D7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3）生态成本指标;</w:t>
      </w:r>
    </w:p>
    <w:p w14:paraId="6FE8A111">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rPr>
      </w:pPr>
      <w:r>
        <w:rPr>
          <w:rFonts w:hint="eastAsia" w:ascii="宋体" w:hAnsi="宋体" w:eastAsia="宋体" w:cs="宋体"/>
          <w:color w:val="000000"/>
          <w:sz w:val="24"/>
          <w:szCs w:val="24"/>
          <w:highlight w:val="none"/>
          <w:lang w:val="en-US" w:eastAsia="zh-CN"/>
        </w:rPr>
        <w:t>该项目无生态成本指标；</w:t>
      </w:r>
    </w:p>
    <w:p w14:paraId="7B094FD9">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（3）效益指标</w:t>
      </w:r>
    </w:p>
    <w:p w14:paraId="65B6EB2A">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1）经济效益指标：</w:t>
      </w:r>
    </w:p>
    <w:p w14:paraId="478CF90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5BACC484">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2）社会效益指标：</w:t>
      </w:r>
    </w:p>
    <w:p w14:paraId="37A1ED8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指标1：加快推进新农村建设，预期指标值为效果显著；</w:t>
      </w:r>
    </w:p>
    <w:p w14:paraId="47825E73">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3）生态效益指标：</w:t>
      </w:r>
    </w:p>
    <w:p w14:paraId="37E9A58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该项目无生态效益指标；</w:t>
      </w:r>
    </w:p>
    <w:p w14:paraId="1895C73C">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（4）服务对象满意度指标：</w:t>
      </w:r>
    </w:p>
    <w:p w14:paraId="55B4959A">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指标1：受益群众满意度，预期指标值≥95%。</w:t>
      </w:r>
      <w:bookmarkEnd w:id="10"/>
    </w:p>
    <w:p w14:paraId="74DC011B">
      <w:pPr>
        <w:pStyle w:val="2"/>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z w:val="24"/>
          <w:szCs w:val="24"/>
          <w:highlight w:val="none"/>
          <w:lang w:val="en-US" w:eastAsia="zh-CN"/>
        </w:rPr>
        <w:t>二、绩效评价工作开展情况</w:t>
      </w:r>
    </w:p>
    <w:p w14:paraId="0B20BB52">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11" w:name="_Toc68364661"/>
      <w:r>
        <w:rPr>
          <w:rFonts w:hint="eastAsia" w:ascii="宋体" w:hAnsi="宋体" w:eastAsia="宋体" w:cs="宋体"/>
          <w:color w:val="000000"/>
          <w:sz w:val="24"/>
          <w:szCs w:val="24"/>
          <w:highlight w:val="none"/>
        </w:rPr>
        <w:t>（一）绩效评价目的、对象和范围</w:t>
      </w:r>
      <w:bookmarkEnd w:id="11"/>
    </w:p>
    <w:p w14:paraId="6FC9F27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1.绩效评价目的</w:t>
      </w:r>
    </w:p>
    <w:p w14:paraId="0E833CE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本次绩效评价遵循财政部《项目支出绩效评价管理办法》（财预〔2020〕10号）《自治区财政支出绩效评价管理暂行办法》（新财预〔2018〕189号）</w:t>
      </w:r>
      <w:r>
        <w:rPr>
          <w:rFonts w:hint="eastAsia" w:ascii="宋体" w:hAnsi="宋体" w:eastAsia="宋体" w:cs="宋体"/>
          <w:color w:val="000000"/>
          <w:sz w:val="24"/>
          <w:szCs w:val="24"/>
          <w:highlight w:val="none"/>
          <w:lang w:val="en-US" w:eastAsia="zh-CN"/>
        </w:rPr>
        <w:t>及</w:t>
      </w:r>
      <w:r>
        <w:rPr>
          <w:rFonts w:hint="eastAsia" w:ascii="宋体" w:hAnsi="宋体" w:eastAsia="宋体" w:cs="宋体"/>
          <w:color w:val="000000"/>
          <w:sz w:val="24"/>
          <w:szCs w:val="24"/>
          <w:highlight w:val="none"/>
        </w:rPr>
        <w:t>自治区财政厅《关于印发〈自治区项目支出绩效目标设置指引〉的通知》（新财预〔2022〕42号）等相关政策文件与规定，对2024年土地指标跨省域调剂收入安排的支出预算项目开展本次部门项目支出绩效评价工作。全面了解2024年土地指标跨省域调剂收入安排的支出预算项目预算编制合理性、资金使用合规性、项目管理的规范性、项目目标的实现情况、服务对象的满意度等项目实施前期、过程及</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效果</w:t>
      </w:r>
      <w:r>
        <w:rPr>
          <w:rFonts w:hint="eastAsia" w:ascii="宋体" w:hAnsi="宋体" w:eastAsia="宋体" w:cs="宋体"/>
          <w:color w:val="000000"/>
          <w:sz w:val="24"/>
          <w:szCs w:val="24"/>
          <w:highlight w:val="none"/>
          <w:lang w:val="en-US" w:eastAsia="zh-CN"/>
        </w:rPr>
        <w:t>情况。</w:t>
      </w:r>
    </w:p>
    <w:p w14:paraId="28128DB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1DCC758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56F04E81">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同时，通过部门项目支出绩效评价，可促进本单位发现预算项目管理中的问题、总结经验、改进工作，以提高</w:t>
      </w:r>
      <w:r>
        <w:rPr>
          <w:rFonts w:hint="eastAsia" w:ascii="宋体" w:hAnsi="宋体" w:eastAsia="宋体" w:cs="宋体"/>
          <w:color w:val="000000"/>
          <w:sz w:val="24"/>
          <w:szCs w:val="24"/>
          <w:highlight w:val="none"/>
        </w:rPr>
        <w:t>财政预算资金使用的效率及效益。</w:t>
      </w:r>
    </w:p>
    <w:p w14:paraId="57E3262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2.绩效评价对象</w:t>
      </w:r>
    </w:p>
    <w:p w14:paraId="2246139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此</w:t>
      </w:r>
      <w:r>
        <w:rPr>
          <w:rFonts w:hint="eastAsia" w:ascii="宋体" w:hAnsi="宋体" w:eastAsia="宋体" w:cs="宋体"/>
          <w:b w:val="0"/>
          <w:bCs/>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b w:val="0"/>
          <w:bCs/>
          <w:color w:val="auto"/>
          <w:kern w:val="0"/>
          <w:sz w:val="24"/>
          <w:szCs w:val="24"/>
          <w:lang w:bidi="en-US"/>
        </w:rPr>
        <w:t>2024年土地指标跨省域调剂收入安排的支出预算</w:t>
      </w:r>
      <w:r>
        <w:rPr>
          <w:rFonts w:hint="eastAsia" w:ascii="宋体" w:hAnsi="宋体" w:eastAsia="宋体" w:cs="宋体"/>
          <w:b w:val="0"/>
          <w:bCs/>
          <w:color w:val="auto"/>
          <w:sz w:val="24"/>
          <w:szCs w:val="24"/>
          <w:highlight w:val="none"/>
        </w:rPr>
        <w:t>项目为</w:t>
      </w:r>
      <w:r>
        <w:rPr>
          <w:rFonts w:hint="eastAsia" w:ascii="宋体" w:hAnsi="宋体" w:eastAsia="宋体" w:cs="宋体"/>
          <w:b w:val="0"/>
          <w:bCs/>
          <w:color w:val="auto"/>
          <w:sz w:val="24"/>
          <w:szCs w:val="24"/>
          <w:highlight w:val="none"/>
          <w:lang w:val="en-US" w:eastAsia="zh-CN"/>
        </w:rPr>
        <w:t>评价</w:t>
      </w:r>
      <w:r>
        <w:rPr>
          <w:rFonts w:hint="eastAsia" w:ascii="宋体" w:hAnsi="宋体" w:eastAsia="宋体" w:cs="宋体"/>
          <w:b w:val="0"/>
          <w:bCs/>
          <w:color w:val="auto"/>
          <w:sz w:val="24"/>
          <w:szCs w:val="24"/>
          <w:highlight w:val="none"/>
        </w:rPr>
        <w:t>对象</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对该项目决策、</w:t>
      </w:r>
      <w:r>
        <w:rPr>
          <w:rFonts w:hint="eastAsia" w:ascii="宋体" w:hAnsi="宋体" w:eastAsia="宋体" w:cs="宋体"/>
          <w:b w:val="0"/>
          <w:bCs/>
          <w:color w:val="auto"/>
          <w:sz w:val="24"/>
          <w:szCs w:val="24"/>
          <w:highlight w:val="none"/>
          <w:lang w:val="en-US" w:eastAsia="zh-CN"/>
        </w:rPr>
        <w:t>项目资金管理、项目实施</w:t>
      </w:r>
      <w:r>
        <w:rPr>
          <w:rFonts w:hint="eastAsia" w:ascii="宋体" w:hAnsi="宋体" w:eastAsia="宋体" w:cs="宋体"/>
          <w:b w:val="0"/>
          <w:bCs/>
          <w:color w:val="auto"/>
          <w:sz w:val="24"/>
          <w:szCs w:val="24"/>
          <w:highlight w:val="none"/>
        </w:rPr>
        <w:t>过程</w:t>
      </w:r>
      <w:r>
        <w:rPr>
          <w:rFonts w:hint="eastAsia" w:ascii="宋体" w:hAnsi="宋体" w:eastAsia="宋体" w:cs="宋体"/>
          <w:b w:val="0"/>
          <w:bCs/>
          <w:color w:val="auto"/>
          <w:sz w:val="24"/>
          <w:szCs w:val="24"/>
          <w:highlight w:val="none"/>
          <w:lang w:val="en-US" w:eastAsia="zh-CN"/>
        </w:rPr>
        <w:t>管理</w:t>
      </w: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lang w:val="en-US" w:eastAsia="zh-CN"/>
        </w:rPr>
        <w:t>以及</w:t>
      </w:r>
      <w:r>
        <w:rPr>
          <w:rFonts w:hint="eastAsia" w:ascii="宋体" w:hAnsi="宋体" w:eastAsia="宋体" w:cs="宋体"/>
          <w:b w:val="0"/>
          <w:bCs/>
          <w:color w:val="auto"/>
          <w:sz w:val="24"/>
          <w:szCs w:val="24"/>
          <w:highlight w:val="none"/>
        </w:rPr>
        <w:t>项目实施所带来的产出和效果</w:t>
      </w:r>
      <w:r>
        <w:rPr>
          <w:rFonts w:hint="eastAsia" w:ascii="宋体" w:hAnsi="宋体" w:eastAsia="宋体" w:cs="宋体"/>
          <w:b w:val="0"/>
          <w:bCs/>
          <w:color w:val="auto"/>
          <w:sz w:val="24"/>
          <w:szCs w:val="24"/>
          <w:highlight w:val="none"/>
          <w:lang w:val="en-US" w:eastAsia="zh-CN"/>
        </w:rPr>
        <w:t>等</w:t>
      </w:r>
      <w:r>
        <w:rPr>
          <w:rFonts w:hint="eastAsia" w:ascii="宋体" w:hAnsi="宋体" w:eastAsia="宋体" w:cs="宋体"/>
          <w:b w:val="0"/>
          <w:bCs/>
          <w:color w:val="auto"/>
          <w:sz w:val="24"/>
          <w:szCs w:val="24"/>
          <w:highlight w:val="none"/>
        </w:rPr>
        <w:t>内容，</w:t>
      </w:r>
      <w:r>
        <w:rPr>
          <w:rFonts w:hint="eastAsia" w:ascii="宋体" w:hAnsi="宋体" w:eastAsia="宋体" w:cs="宋体"/>
          <w:b w:val="0"/>
          <w:bCs/>
          <w:color w:val="auto"/>
          <w:sz w:val="24"/>
          <w:szCs w:val="24"/>
          <w:highlight w:val="none"/>
          <w:lang w:val="en-US" w:eastAsia="zh-CN"/>
        </w:rPr>
        <w:t>进行综合评价。</w:t>
      </w:r>
    </w:p>
    <w:p w14:paraId="0B696F7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3.绩效评价范围</w:t>
      </w:r>
    </w:p>
    <w:p w14:paraId="3F4107A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本次绩效评价主要围绕</w:t>
      </w:r>
      <w:bookmarkStart w:id="12" w:name="OLE_LINK8"/>
      <w:r>
        <w:rPr>
          <w:rFonts w:hint="eastAsia" w:ascii="宋体" w:hAnsi="宋体" w:eastAsia="宋体" w:cs="宋体"/>
          <w:b w:val="0"/>
          <w:bCs/>
          <w:color w:val="auto"/>
          <w:sz w:val="24"/>
          <w:szCs w:val="24"/>
          <w:highlight w:val="none"/>
          <w:lang w:val="en-US" w:eastAsia="zh-CN"/>
        </w:rPr>
        <w:t>2024年土地指标跨省域调剂收入安排的支出预算</w:t>
      </w:r>
      <w:bookmarkEnd w:id="12"/>
      <w:r>
        <w:rPr>
          <w:rFonts w:hint="eastAsia" w:ascii="宋体" w:hAnsi="宋体" w:eastAsia="宋体" w:cs="宋体"/>
          <w:b w:val="0"/>
          <w:bCs/>
          <w:color w:val="auto"/>
          <w:sz w:val="24"/>
          <w:szCs w:val="24"/>
          <w:highlight w:val="none"/>
          <w:lang w:val="en-US" w:eastAsia="zh-CN"/>
        </w:rPr>
        <w:t>决策、项目资金管理、项目实施过程管理，以及项目实施所带来的产出和效果等内容，进行综合评价。范围涵盖项目总体绩效目标、各项绩效指标完成情况以及预算执行情况</w:t>
      </w:r>
      <w:bookmarkStart w:id="13" w:name="_Toc68364662"/>
      <w:r>
        <w:rPr>
          <w:rFonts w:hint="eastAsia" w:ascii="宋体" w:hAnsi="宋体" w:eastAsia="宋体" w:cs="宋体"/>
          <w:b w:val="0"/>
          <w:bCs/>
          <w:color w:val="auto"/>
          <w:sz w:val="24"/>
          <w:szCs w:val="24"/>
          <w:highlight w:val="none"/>
          <w:lang w:val="en-US" w:eastAsia="zh-CN"/>
        </w:rPr>
        <w:t>，覆盖预算资金支出项目的所有内容进行评价。</w:t>
      </w:r>
      <w:bookmarkEnd w:id="13"/>
    </w:p>
    <w:p w14:paraId="69EFE1BF">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（二）绩效评价原则、评价指标体系、评价方法评价标准</w:t>
      </w:r>
    </w:p>
    <w:p w14:paraId="48A297A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1.绩效评价原则</w:t>
      </w:r>
    </w:p>
    <w:p w14:paraId="1E0762CB">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4835038D">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（1）科学公正。绩效评价应当运用科学合理的方法，按照规范的程序，对项目绩效进行客观、公正的反映。</w:t>
      </w:r>
    </w:p>
    <w:p w14:paraId="0D85A704">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1862DBBA">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（3）激励约束。绩效评价结果应与预算安排、政策调整、改进管理实质性挂钩，体现奖优罚劣和激励相容导向，有效要安排、低效要压减、无效要问责。</w:t>
      </w:r>
    </w:p>
    <w:p w14:paraId="2D398912">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（4）公开透明。绩效评价结果应依法依规公开，并自觉接受社会监督。</w:t>
      </w:r>
    </w:p>
    <w:p w14:paraId="337EB22D">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根据以上原则，绩效评价应遵循如下要求:</w:t>
      </w:r>
    </w:p>
    <w:p w14:paraId="7AE5E889">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392E5B93">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262AE62E">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39340C58">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2.绩效评价指标体系</w:t>
      </w:r>
    </w:p>
    <w:p w14:paraId="68552C87">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b w:val="0"/>
          <w:bCs/>
          <w:color w:val="auto"/>
          <w:sz w:val="24"/>
          <w:szCs w:val="24"/>
          <w:lang w:val="en-US" w:eastAsia="zh-CN"/>
        </w:rPr>
        <w:t>2</w:t>
      </w:r>
      <w:r>
        <w:rPr>
          <w:rFonts w:hint="eastAsia" w:ascii="宋体" w:hAnsi="宋体" w:eastAsia="宋体" w:cs="宋体"/>
          <w:b w:val="0"/>
          <w:bCs/>
          <w:color w:val="auto"/>
          <w:sz w:val="24"/>
          <w:szCs w:val="24"/>
        </w:rPr>
        <w:t>个二级指标。项目绩效评价体系</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详细指标体系见“附件1：项目支出绩效评价体系”。</w:t>
      </w:r>
    </w:p>
    <w:p w14:paraId="787F8C6D">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3.绩效评价方法</w:t>
      </w:r>
    </w:p>
    <w:p w14:paraId="321D0137">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41EDF726">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7568A4CF">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3D093254">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78C034C9">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1C7FEB2F">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6AD1B326">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2361935E">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03F163DC">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7F68E7C9">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43518876">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56921A28">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1C0CC84C">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0642685A">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BEC719D">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0E77211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14" w:name="_Toc68364663"/>
      <w:r>
        <w:rPr>
          <w:rFonts w:hint="eastAsia" w:ascii="宋体" w:hAnsi="宋体" w:eastAsia="宋体" w:cs="宋体"/>
          <w:b/>
          <w:bCs/>
          <w:color w:val="000000"/>
          <w:sz w:val="24"/>
          <w:szCs w:val="24"/>
          <w:highlight w:val="none"/>
        </w:rPr>
        <w:t>4.绩效评价标准</w:t>
      </w:r>
    </w:p>
    <w:p w14:paraId="1E11B454">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绩效评价标准通常包括计划标准、行业标准、历史标准等，用于对绩效指标完成情况进行比较、分析、评价。本次计划标准</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行业标准</w:t>
      </w:r>
      <w:r>
        <w:rPr>
          <w:rFonts w:hint="eastAsia" w:ascii="宋体" w:hAnsi="宋体" w:eastAsia="宋体" w:cs="宋体"/>
          <w:b w:val="0"/>
          <w:bCs/>
          <w:color w:val="auto"/>
          <w:sz w:val="24"/>
          <w:szCs w:val="24"/>
          <w:lang w:eastAsia="zh-CN"/>
        </w:rPr>
        <w:t>。</w:t>
      </w:r>
    </w:p>
    <w:p w14:paraId="3D48421D">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b w:val="0"/>
          <w:bCs/>
          <w:color w:val="auto"/>
          <w:sz w:val="24"/>
          <w:szCs w:val="24"/>
        </w:rPr>
      </w:pPr>
      <w:bookmarkStart w:id="15" w:name="OLE_LINK6"/>
      <w:bookmarkStart w:id="16" w:name="_Toc31464"/>
      <w:bookmarkStart w:id="17" w:name="_Toc17882"/>
      <w:r>
        <w:rPr>
          <w:rFonts w:hint="eastAsia" w:ascii="宋体" w:hAnsi="宋体" w:eastAsia="宋体" w:cs="宋体"/>
          <w:b w:val="0"/>
          <w:bCs/>
          <w:color w:val="auto"/>
          <w:sz w:val="24"/>
          <w:szCs w:val="24"/>
        </w:rPr>
        <w:t>计划标准</w:t>
      </w:r>
      <w:bookmarkEnd w:id="15"/>
      <w:r>
        <w:rPr>
          <w:rFonts w:hint="eastAsia" w:ascii="宋体" w:hAnsi="宋体" w:eastAsia="宋体" w:cs="宋体"/>
          <w:b w:val="0"/>
          <w:bCs/>
          <w:color w:val="auto"/>
          <w:sz w:val="24"/>
          <w:szCs w:val="24"/>
        </w:rPr>
        <w:t>：指以预先制定的目标、计划、预算、定额等作为评价标准。</w:t>
      </w:r>
      <w:bookmarkEnd w:id="16"/>
      <w:bookmarkEnd w:id="17"/>
    </w:p>
    <w:p w14:paraId="0BCB3B08">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b w:val="0"/>
          <w:bCs/>
          <w:color w:val="auto"/>
          <w:sz w:val="24"/>
          <w:szCs w:val="24"/>
        </w:rPr>
      </w:pPr>
      <w:bookmarkStart w:id="18" w:name="OLE_LINK7"/>
      <w:bookmarkStart w:id="19" w:name="_Toc2318"/>
      <w:bookmarkStart w:id="20" w:name="_Toc5633"/>
      <w:r>
        <w:rPr>
          <w:rFonts w:hint="eastAsia" w:ascii="宋体" w:hAnsi="宋体" w:eastAsia="宋体" w:cs="宋体"/>
          <w:b w:val="0"/>
          <w:bCs/>
          <w:color w:val="auto"/>
          <w:sz w:val="24"/>
          <w:szCs w:val="24"/>
        </w:rPr>
        <w:t>行业标准</w:t>
      </w:r>
      <w:bookmarkEnd w:id="18"/>
      <w:r>
        <w:rPr>
          <w:rFonts w:hint="eastAsia" w:ascii="宋体" w:hAnsi="宋体" w:eastAsia="宋体" w:cs="宋体"/>
          <w:b w:val="0"/>
          <w:bCs/>
          <w:color w:val="auto"/>
          <w:sz w:val="24"/>
          <w:szCs w:val="24"/>
        </w:rPr>
        <w:t>：指参照国家公布的行业指标数据制定的评价标准。</w:t>
      </w:r>
      <w:bookmarkEnd w:id="19"/>
      <w:bookmarkEnd w:id="20"/>
    </w:p>
    <w:p w14:paraId="1546C349">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b w:val="0"/>
          <w:bCs/>
          <w:color w:val="auto"/>
          <w:sz w:val="24"/>
          <w:szCs w:val="24"/>
        </w:rPr>
      </w:pPr>
      <w:bookmarkStart w:id="21" w:name="_Toc16028"/>
      <w:bookmarkStart w:id="22" w:name="_Toc430"/>
      <w:r>
        <w:rPr>
          <w:rFonts w:hint="eastAsia" w:ascii="宋体" w:hAnsi="宋体" w:eastAsia="宋体" w:cs="宋体"/>
          <w:b w:val="0"/>
          <w:bCs/>
          <w:color w:val="auto"/>
          <w:sz w:val="24"/>
          <w:szCs w:val="24"/>
        </w:rPr>
        <w:t>历史标准：指参照历史数据制定的评价标准，为体现绩效改进的原则，在可实现的条件下应当确定相对较高的评价标准。</w:t>
      </w:r>
      <w:bookmarkEnd w:id="14"/>
      <w:bookmarkEnd w:id="21"/>
      <w:bookmarkEnd w:id="22"/>
    </w:p>
    <w:p w14:paraId="28F993D8">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23" w:name="_Toc68364664"/>
      <w:r>
        <w:rPr>
          <w:rFonts w:hint="eastAsia" w:ascii="宋体" w:hAnsi="宋体" w:eastAsia="宋体" w:cs="宋体"/>
          <w:color w:val="000000"/>
          <w:sz w:val="24"/>
          <w:szCs w:val="24"/>
          <w:highlight w:val="none"/>
        </w:rPr>
        <w:t>（三）绩效评价工作过程</w:t>
      </w:r>
    </w:p>
    <w:p w14:paraId="1B01DE0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1.前期准备</w:t>
      </w:r>
    </w:p>
    <w:p w14:paraId="22E8C637">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highlight w:val="none"/>
        </w:rPr>
        <w:t>我单位于</w:t>
      </w:r>
      <w:r>
        <w:rPr>
          <w:rFonts w:hint="eastAsia" w:ascii="宋体" w:hAnsi="宋体" w:eastAsia="宋体" w:cs="宋体"/>
          <w:b w:val="0"/>
          <w:bCs/>
          <w:color w:val="auto"/>
          <w:sz w:val="24"/>
          <w:szCs w:val="24"/>
          <w:highlight w:val="none"/>
          <w:lang w:eastAsia="zh-CN"/>
        </w:rPr>
        <w:t>202</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eastAsia="zh-CN"/>
        </w:rPr>
        <w:t>年</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月</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日</w:t>
      </w:r>
      <w:r>
        <w:rPr>
          <w:rFonts w:hint="eastAsia" w:ascii="宋体" w:hAnsi="宋体" w:eastAsia="宋体" w:cs="宋体"/>
          <w:b w:val="0"/>
          <w:bCs/>
          <w:color w:val="auto"/>
          <w:sz w:val="24"/>
          <w:szCs w:val="24"/>
        </w:rPr>
        <w:t>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3F3F4FA5">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eastAsia="zh-CN"/>
        </w:rPr>
        <w:t>史晓光</w:t>
      </w:r>
      <w:r>
        <w:rPr>
          <w:rFonts w:hint="eastAsia" w:ascii="宋体" w:hAnsi="宋体" w:eastAsia="宋体" w:cs="宋体"/>
          <w:b w:val="0"/>
          <w:bCs/>
          <w:color w:val="auto"/>
          <w:sz w:val="24"/>
          <w:szCs w:val="24"/>
          <w:highlight w:val="none"/>
        </w:rPr>
        <w:t>（评价小组组长）：主要负责</w:t>
      </w:r>
      <w:r>
        <w:rPr>
          <w:rFonts w:hint="eastAsia" w:ascii="宋体" w:hAnsi="宋体" w:eastAsia="宋体" w:cs="宋体"/>
          <w:b w:val="0"/>
          <w:bCs/>
          <w:color w:val="auto"/>
          <w:sz w:val="24"/>
          <w:szCs w:val="24"/>
          <w:highlight w:val="none"/>
          <w:lang w:val="en-US" w:eastAsia="zh-CN"/>
        </w:rPr>
        <w:t>组织安排绩效评价工作</w:t>
      </w:r>
      <w:r>
        <w:rPr>
          <w:rFonts w:hint="eastAsia" w:ascii="宋体" w:hAnsi="宋体" w:eastAsia="宋体" w:cs="宋体"/>
          <w:b w:val="0"/>
          <w:bCs/>
          <w:color w:val="auto"/>
          <w:sz w:val="24"/>
          <w:szCs w:val="24"/>
          <w:highlight w:val="none"/>
        </w:rPr>
        <w:t>;</w:t>
      </w:r>
    </w:p>
    <w:p w14:paraId="62934B25">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highlight w:val="none"/>
        </w:rPr>
      </w:pPr>
      <w:bookmarkStart w:id="24" w:name="OLE_LINK39"/>
      <w:r>
        <w:rPr>
          <w:rFonts w:hint="eastAsia" w:ascii="宋体" w:hAnsi="宋体" w:eastAsia="宋体" w:cs="宋体"/>
          <w:b w:val="0"/>
          <w:bCs/>
          <w:color w:val="auto"/>
          <w:sz w:val="24"/>
          <w:szCs w:val="24"/>
          <w:highlight w:val="none"/>
          <w:lang w:val="en-US" w:eastAsia="zh-CN"/>
        </w:rPr>
        <w:t>夏热帕提·木提力</w:t>
      </w:r>
      <w:bookmarkEnd w:id="24"/>
      <w:r>
        <w:rPr>
          <w:rFonts w:hint="eastAsia" w:ascii="宋体" w:hAnsi="宋体" w:eastAsia="宋体" w:cs="宋体"/>
          <w:b w:val="0"/>
          <w:bCs/>
          <w:color w:val="auto"/>
          <w:sz w:val="24"/>
          <w:szCs w:val="24"/>
          <w:highlight w:val="none"/>
        </w:rPr>
        <w:t>（评价小组组员）：主要负责</w:t>
      </w:r>
      <w:r>
        <w:rPr>
          <w:rFonts w:hint="eastAsia" w:ascii="宋体" w:hAnsi="宋体" w:eastAsia="宋体" w:cs="宋体"/>
          <w:b w:val="0"/>
          <w:bCs/>
          <w:color w:val="auto"/>
          <w:sz w:val="24"/>
          <w:szCs w:val="24"/>
          <w:highlight w:val="none"/>
          <w:lang w:val="en-US" w:eastAsia="zh-CN"/>
        </w:rPr>
        <w:t>资料整理及信息汇总工作</w:t>
      </w:r>
      <w:r>
        <w:rPr>
          <w:rFonts w:hint="eastAsia" w:ascii="宋体" w:hAnsi="宋体" w:eastAsia="宋体" w:cs="宋体"/>
          <w:b w:val="0"/>
          <w:bCs/>
          <w:color w:val="auto"/>
          <w:sz w:val="24"/>
          <w:szCs w:val="24"/>
          <w:highlight w:val="none"/>
        </w:rPr>
        <w:t>;</w:t>
      </w:r>
    </w:p>
    <w:p w14:paraId="78B9EBB0">
      <w:pPr>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highlight w:val="none"/>
          <w:lang w:val="en-US" w:eastAsia="zh-CN"/>
        </w:rPr>
        <w:t>祖力皮喀尔</w:t>
      </w:r>
      <w:r>
        <w:rPr>
          <w:rFonts w:hint="eastAsia" w:ascii="宋体" w:hAnsi="宋体" w:eastAsia="宋体" w:cs="宋体"/>
          <w:b w:val="0"/>
          <w:bCs/>
          <w:color w:val="auto"/>
          <w:sz w:val="24"/>
          <w:szCs w:val="24"/>
          <w:highlight w:val="none"/>
        </w:rPr>
        <w:t>（评价小组组员）：主要负责</w:t>
      </w:r>
      <w:r>
        <w:rPr>
          <w:rFonts w:hint="eastAsia" w:ascii="宋体" w:hAnsi="宋体" w:eastAsia="宋体" w:cs="宋体"/>
          <w:b w:val="0"/>
          <w:bCs/>
          <w:color w:val="auto"/>
          <w:sz w:val="24"/>
          <w:szCs w:val="24"/>
          <w:highlight w:val="none"/>
          <w:lang w:val="en-US" w:eastAsia="zh-CN"/>
        </w:rPr>
        <w:t>出具项目绩效评价报告</w:t>
      </w:r>
      <w:r>
        <w:rPr>
          <w:rFonts w:hint="eastAsia" w:ascii="宋体" w:hAnsi="宋体" w:eastAsia="宋体" w:cs="宋体"/>
          <w:b w:val="0"/>
          <w:bCs/>
          <w:color w:val="auto"/>
          <w:sz w:val="24"/>
          <w:szCs w:val="24"/>
          <w:highlight w:val="none"/>
        </w:rPr>
        <w:t>。</w:t>
      </w:r>
    </w:p>
    <w:p w14:paraId="0EEEAD7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6339036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highlight w:val="none"/>
          <w:lang w:eastAsia="zh-CN"/>
        </w:rPr>
        <w:t>202</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eastAsia="zh-CN"/>
        </w:rPr>
        <w:t>年</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月</w:t>
      </w:r>
      <w:r>
        <w:rPr>
          <w:rFonts w:hint="eastAsia" w:ascii="宋体" w:hAnsi="宋体" w:eastAsia="宋体" w:cs="宋体"/>
          <w:b w:val="0"/>
          <w:bCs/>
          <w:color w:val="auto"/>
          <w:sz w:val="24"/>
          <w:szCs w:val="24"/>
          <w:highlight w:val="none"/>
          <w:lang w:val="en-US" w:eastAsia="zh-CN"/>
        </w:rPr>
        <w:t>25</w:t>
      </w:r>
      <w:r>
        <w:rPr>
          <w:rFonts w:hint="eastAsia" w:ascii="宋体" w:hAnsi="宋体" w:eastAsia="宋体" w:cs="宋体"/>
          <w:b w:val="0"/>
          <w:bCs/>
          <w:color w:val="auto"/>
          <w:sz w:val="24"/>
          <w:szCs w:val="24"/>
          <w:highlight w:val="none"/>
        </w:rPr>
        <w:t>日-</w:t>
      </w:r>
      <w:r>
        <w:rPr>
          <w:rFonts w:hint="eastAsia" w:ascii="宋体" w:hAnsi="宋体" w:eastAsia="宋体" w:cs="宋体"/>
          <w:b w:val="0"/>
          <w:bCs/>
          <w:color w:val="auto"/>
          <w:sz w:val="24"/>
          <w:szCs w:val="24"/>
          <w:highlight w:val="none"/>
          <w:lang w:val="en-US" w:eastAsia="zh-CN"/>
        </w:rPr>
        <w:t>2025年1</w:t>
      </w:r>
      <w:r>
        <w:rPr>
          <w:rFonts w:hint="eastAsia" w:ascii="宋体" w:hAnsi="宋体" w:eastAsia="宋体" w:cs="宋体"/>
          <w:b w:val="0"/>
          <w:bCs/>
          <w:color w:val="auto"/>
          <w:sz w:val="24"/>
          <w:szCs w:val="24"/>
          <w:highlight w:val="none"/>
        </w:rPr>
        <w:t>月</w:t>
      </w:r>
      <w:r>
        <w:rPr>
          <w:rFonts w:hint="eastAsia" w:ascii="宋体" w:hAnsi="宋体" w:eastAsia="宋体" w:cs="宋体"/>
          <w:b w:val="0"/>
          <w:bCs/>
          <w:color w:val="auto"/>
          <w:sz w:val="24"/>
          <w:szCs w:val="24"/>
          <w:highlight w:val="none"/>
          <w:lang w:val="en-US" w:eastAsia="zh-CN"/>
        </w:rPr>
        <w:t>31</w:t>
      </w:r>
      <w:r>
        <w:rPr>
          <w:rFonts w:hint="eastAsia" w:ascii="宋体" w:hAnsi="宋体" w:eastAsia="宋体" w:cs="宋体"/>
          <w:b w:val="0"/>
          <w:bCs/>
          <w:color w:val="auto"/>
          <w:sz w:val="24"/>
          <w:szCs w:val="24"/>
          <w:highlight w:val="none"/>
        </w:rPr>
        <w:t>日</w:t>
      </w:r>
      <w:r>
        <w:rPr>
          <w:rFonts w:hint="eastAsia" w:ascii="宋体" w:hAnsi="宋体" w:eastAsia="宋体" w:cs="宋体"/>
          <w:b w:val="0"/>
          <w:bCs/>
          <w:color w:val="auto"/>
          <w:sz w:val="24"/>
          <w:szCs w:val="24"/>
        </w:rPr>
        <w:t>，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1D36D13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36943B8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highlight w:val="none"/>
          <w:lang w:eastAsia="zh-CN"/>
        </w:rPr>
        <w:t>202</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eastAsia="zh-CN"/>
        </w:rPr>
        <w:t>年</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月</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日-</w:t>
      </w:r>
      <w:r>
        <w:rPr>
          <w:rFonts w:hint="eastAsia" w:ascii="宋体" w:hAnsi="宋体" w:eastAsia="宋体" w:cs="宋体"/>
          <w:b w:val="0"/>
          <w:bCs/>
          <w:color w:val="auto"/>
          <w:sz w:val="24"/>
          <w:szCs w:val="24"/>
          <w:highlight w:val="none"/>
          <w:lang w:val="en-US" w:eastAsia="zh-CN"/>
        </w:rPr>
        <w:t>2025年2</w:t>
      </w:r>
      <w:r>
        <w:rPr>
          <w:rFonts w:hint="eastAsia" w:ascii="宋体" w:hAnsi="宋体" w:eastAsia="宋体" w:cs="宋体"/>
          <w:b w:val="0"/>
          <w:bCs/>
          <w:color w:val="auto"/>
          <w:sz w:val="24"/>
          <w:szCs w:val="24"/>
          <w:highlight w:val="none"/>
        </w:rPr>
        <w:t>月</w:t>
      </w:r>
      <w:r>
        <w:rPr>
          <w:rFonts w:hint="eastAsia" w:ascii="宋体" w:hAnsi="宋体" w:eastAsia="宋体" w:cs="宋体"/>
          <w:b w:val="0"/>
          <w:bCs/>
          <w:color w:val="auto"/>
          <w:sz w:val="24"/>
          <w:szCs w:val="24"/>
          <w:highlight w:val="none"/>
          <w:lang w:val="en-US" w:eastAsia="zh-CN"/>
        </w:rPr>
        <w:t>28</w:t>
      </w:r>
      <w:r>
        <w:rPr>
          <w:rFonts w:hint="eastAsia" w:ascii="宋体" w:hAnsi="宋体" w:eastAsia="宋体" w:cs="宋体"/>
          <w:b w:val="0"/>
          <w:bCs/>
          <w:color w:val="auto"/>
          <w:sz w:val="24"/>
          <w:szCs w:val="24"/>
          <w:highlight w:val="none"/>
        </w:rPr>
        <w:t>日，</w:t>
      </w:r>
      <w:r>
        <w:rPr>
          <w:rFonts w:hint="eastAsia" w:ascii="宋体" w:hAnsi="宋体" w:eastAsia="宋体" w:cs="宋体"/>
          <w:b w:val="0"/>
          <w:bCs/>
          <w:color w:val="auto"/>
          <w:sz w:val="24"/>
          <w:szCs w:val="24"/>
        </w:rPr>
        <w:t>评价小组按照绩效评价的原则和规范，对取得的资料进行审查核实，对采集的数据进行分析，按照绩效评价指标评分表逐项进行打分、分析、汇总各方评价结果。</w:t>
      </w:r>
    </w:p>
    <w:p w14:paraId="62D09C3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5B4A128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eastAsia="zh-CN"/>
        </w:rPr>
        <w:t>202</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eastAsia="zh-CN"/>
        </w:rPr>
        <w:t>年</w:t>
      </w: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rPr>
        <w:t>月</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日-</w:t>
      </w:r>
      <w:r>
        <w:rPr>
          <w:rFonts w:hint="eastAsia" w:ascii="宋体" w:hAnsi="宋体" w:eastAsia="宋体" w:cs="宋体"/>
          <w:b w:val="0"/>
          <w:bCs/>
          <w:color w:val="auto"/>
          <w:sz w:val="24"/>
          <w:szCs w:val="24"/>
          <w:highlight w:val="none"/>
          <w:lang w:val="en-US" w:eastAsia="zh-CN"/>
        </w:rPr>
        <w:t>2025年3</w:t>
      </w:r>
      <w:r>
        <w:rPr>
          <w:rFonts w:hint="eastAsia" w:ascii="宋体" w:hAnsi="宋体" w:eastAsia="宋体" w:cs="宋体"/>
          <w:b w:val="0"/>
          <w:bCs/>
          <w:color w:val="auto"/>
          <w:sz w:val="24"/>
          <w:szCs w:val="24"/>
          <w:highlight w:val="none"/>
        </w:rPr>
        <w:t>月</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日</w:t>
      </w:r>
      <w:r>
        <w:rPr>
          <w:rFonts w:hint="eastAsia" w:ascii="宋体" w:hAnsi="宋体" w:eastAsia="宋体" w:cs="宋体"/>
          <w:b w:val="0"/>
          <w:bCs/>
          <w:color w:val="auto"/>
          <w:sz w:val="24"/>
          <w:szCs w:val="24"/>
          <w:highlight w:val="none"/>
          <w:lang w:val="en-US" w:eastAsia="zh-CN"/>
        </w:rPr>
        <w:t>评价小组</w:t>
      </w:r>
      <w:r>
        <w:rPr>
          <w:rFonts w:hint="eastAsia" w:ascii="宋体" w:hAnsi="宋体" w:eastAsia="宋体" w:cs="宋体"/>
          <w:b w:val="0"/>
          <w:bCs/>
          <w:color w:val="auto"/>
          <w:sz w:val="24"/>
          <w:szCs w:val="24"/>
          <w:highlight w:val="none"/>
        </w:rPr>
        <w:t>撰写绩效评价报告，按照新疆</w:t>
      </w:r>
      <w:r>
        <w:rPr>
          <w:rFonts w:hint="eastAsia" w:ascii="宋体" w:hAnsi="宋体" w:eastAsia="宋体" w:cs="宋体"/>
          <w:b w:val="0"/>
          <w:bCs/>
          <w:color w:val="auto"/>
          <w:sz w:val="24"/>
          <w:szCs w:val="24"/>
          <w:highlight w:val="none"/>
          <w:lang w:eastAsia="zh-CN"/>
        </w:rPr>
        <w:t>维吾尔自治区财政绩效管理信息系统</w:t>
      </w:r>
      <w:r>
        <w:rPr>
          <w:rFonts w:hint="eastAsia" w:ascii="宋体" w:hAnsi="宋体" w:eastAsia="宋体" w:cs="宋体"/>
          <w:b w:val="0"/>
          <w:bCs/>
          <w:color w:val="auto"/>
          <w:sz w:val="24"/>
          <w:szCs w:val="24"/>
          <w:highlight w:val="none"/>
        </w:rPr>
        <w:t>绩效评价模块中统一格式和文本框架撰写绩效评价报告并提交审核。</w:t>
      </w:r>
    </w:p>
    <w:p w14:paraId="13DA464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10E694B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7B95689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3DB91FB6">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建立和落实档案管理制度，将项目相关资料存档，包括但不限于：评价项目基本情况和相关文件、评价实施方案、项目支付资料等相关档案。</w:t>
      </w:r>
      <w:bookmarkEnd w:id="23"/>
    </w:p>
    <w:p w14:paraId="23B710C1">
      <w:pPr>
        <w:pStyle w:val="2"/>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000000"/>
          <w:sz w:val="24"/>
          <w:szCs w:val="24"/>
          <w:highlight w:val="none"/>
        </w:rPr>
      </w:pPr>
      <w:bookmarkStart w:id="25" w:name="_Toc68364666"/>
      <w:r>
        <w:rPr>
          <w:rFonts w:hint="eastAsia" w:ascii="黑体" w:hAnsi="黑体" w:eastAsia="黑体" w:cs="黑体"/>
          <w:color w:val="000000"/>
          <w:sz w:val="24"/>
          <w:szCs w:val="24"/>
          <w:highlight w:val="none"/>
        </w:rPr>
        <w:t>三、综合评价情况及评价结论</w:t>
      </w:r>
    </w:p>
    <w:p w14:paraId="2F8ECAE6">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26" w:name="_Toc68364665"/>
      <w:r>
        <w:rPr>
          <w:rFonts w:hint="eastAsia" w:ascii="宋体" w:hAnsi="宋体" w:eastAsia="宋体" w:cs="宋体"/>
          <w:color w:val="000000"/>
          <w:sz w:val="24"/>
          <w:szCs w:val="24"/>
          <w:highlight w:val="none"/>
        </w:rPr>
        <w:t>（一）综合评价情况</w:t>
      </w:r>
      <w:bookmarkEnd w:id="26"/>
    </w:p>
    <w:p w14:paraId="2B628D8E">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通过实施</w:t>
      </w:r>
      <w:r>
        <w:rPr>
          <w:rFonts w:hint="eastAsia" w:ascii="宋体" w:hAnsi="宋体" w:eastAsia="宋体" w:cs="宋体"/>
          <w:b w:val="0"/>
          <w:bCs/>
          <w:i w:val="0"/>
          <w:iCs w:val="0"/>
          <w:caps w:val="0"/>
          <w:color w:val="auto"/>
          <w:spacing w:val="0"/>
          <w:kern w:val="0"/>
          <w:sz w:val="24"/>
          <w:szCs w:val="24"/>
          <w:lang w:val="en-US" w:eastAsia="zh-CN" w:bidi="ar-SA"/>
        </w:rPr>
        <w:t>2024年土地指标跨省域调剂收入安排的支出预算</w:t>
      </w:r>
      <w:r>
        <w:rPr>
          <w:rFonts w:hint="eastAsia" w:ascii="宋体" w:hAnsi="宋体" w:eastAsia="宋体" w:cs="宋体"/>
          <w:b w:val="0"/>
          <w:bCs/>
          <w:color w:val="auto"/>
          <w:sz w:val="24"/>
          <w:szCs w:val="24"/>
        </w:rPr>
        <w:t>项目产生</w:t>
      </w:r>
      <w:r>
        <w:rPr>
          <w:rFonts w:hint="eastAsia" w:ascii="宋体" w:hAnsi="宋体" w:eastAsia="宋体" w:cs="宋体"/>
          <w:b w:val="0"/>
          <w:bCs/>
          <w:color w:val="auto"/>
          <w:sz w:val="24"/>
          <w:szCs w:val="24"/>
          <w:lang w:eastAsia="zh-CN"/>
        </w:rPr>
        <w:t>社会</w:t>
      </w:r>
      <w:r>
        <w:rPr>
          <w:rFonts w:hint="eastAsia" w:ascii="宋体" w:hAnsi="宋体" w:eastAsia="宋体" w:cs="宋体"/>
          <w:b w:val="0"/>
          <w:bCs/>
          <w:color w:val="auto"/>
          <w:sz w:val="24"/>
          <w:szCs w:val="24"/>
        </w:rPr>
        <w:t>效益</w:t>
      </w:r>
      <w:r>
        <w:rPr>
          <w:rFonts w:hint="eastAsia" w:ascii="宋体" w:hAnsi="宋体" w:eastAsia="宋体" w:cs="宋体"/>
          <w:b w:val="0"/>
          <w:bCs/>
          <w:color w:val="auto"/>
          <w:sz w:val="24"/>
          <w:szCs w:val="24"/>
          <w:lang w:eastAsia="zh-CN"/>
        </w:rPr>
        <w:t>，提高了土地使用率</w:t>
      </w:r>
      <w:r>
        <w:rPr>
          <w:rFonts w:hint="eastAsia" w:ascii="宋体" w:hAnsi="宋体" w:eastAsia="宋体" w:cs="宋体"/>
          <w:b w:val="0"/>
          <w:bCs/>
          <w:color w:val="auto"/>
          <w:sz w:val="24"/>
          <w:szCs w:val="24"/>
        </w:rPr>
        <w:t>。项目实施主要通过项目决策、项目过程、项目产出以及项目效益等方面进行评价，其中：</w:t>
      </w:r>
    </w:p>
    <w:p w14:paraId="2785993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项目决策：该项目主要通过</w:t>
      </w:r>
      <w:r>
        <w:rPr>
          <w:rFonts w:hint="eastAsia" w:ascii="宋体" w:hAnsi="宋体" w:eastAsia="宋体" w:cs="宋体"/>
          <w:b w:val="0"/>
          <w:bCs/>
          <w:i w:val="0"/>
          <w:iCs w:val="0"/>
          <w:caps w:val="0"/>
          <w:color w:val="auto"/>
          <w:spacing w:val="0"/>
          <w:sz w:val="24"/>
          <w:szCs w:val="24"/>
        </w:rPr>
        <w:t>《中共中央办公厅国务院办公厅印发&lt;关于支持深度贫困地区脱贫攻坚的实施意见&gt;的通知》（厅字〔2017〕41号）、《国务院办公厅关于印发跨省域补充耕地国家统筹管理办法和城乡建设用地增减挂钩节余指标跨省域调剂管理办法的通知》（国办发〔2018〕16号）等</w:t>
      </w:r>
      <w:r>
        <w:rPr>
          <w:rFonts w:hint="eastAsia" w:ascii="宋体" w:hAnsi="宋体" w:eastAsia="宋体" w:cs="宋体"/>
          <w:b w:val="0"/>
          <w:bCs/>
          <w:color w:val="auto"/>
          <w:sz w:val="24"/>
          <w:szCs w:val="24"/>
        </w:rPr>
        <w:t>文件立项，项目实施符合</w:t>
      </w:r>
      <w:r>
        <w:rPr>
          <w:rFonts w:hint="eastAsia" w:ascii="宋体" w:hAnsi="宋体" w:eastAsia="宋体" w:cs="宋体"/>
          <w:b w:val="0"/>
          <w:bCs/>
          <w:color w:val="auto"/>
          <w:sz w:val="24"/>
          <w:szCs w:val="24"/>
          <w:lang w:eastAsia="zh-CN"/>
        </w:rPr>
        <w:t>文件</w:t>
      </w:r>
      <w:r>
        <w:rPr>
          <w:rFonts w:hint="eastAsia" w:ascii="宋体" w:hAnsi="宋体" w:eastAsia="宋体" w:cs="宋体"/>
          <w:b w:val="0"/>
          <w:bCs/>
          <w:color w:val="auto"/>
          <w:sz w:val="24"/>
          <w:szCs w:val="24"/>
        </w:rPr>
        <w:t>要求，项目立项依据充分，立项程序规范。</w:t>
      </w:r>
    </w:p>
    <w:p w14:paraId="2A0ABD90">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项目过程：</w:t>
      </w:r>
      <w:bookmarkStart w:id="27" w:name="OLE_LINK11"/>
      <w:r>
        <w:rPr>
          <w:rFonts w:hint="eastAsia" w:ascii="宋体" w:hAnsi="宋体" w:eastAsia="宋体" w:cs="宋体"/>
          <w:b w:val="0"/>
          <w:bCs/>
          <w:color w:val="auto"/>
          <w:sz w:val="24"/>
          <w:szCs w:val="24"/>
        </w:rPr>
        <w:t>2024年土地指标跨省域调剂收入安排的支出预算</w:t>
      </w:r>
      <w:bookmarkEnd w:id="27"/>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项目预算安排</w:t>
      </w:r>
      <w:r>
        <w:rPr>
          <w:rFonts w:hint="eastAsia" w:ascii="宋体" w:hAnsi="宋体" w:eastAsia="宋体" w:cs="宋体"/>
          <w:b w:val="0"/>
          <w:bCs/>
          <w:color w:val="auto"/>
          <w:sz w:val="24"/>
          <w:szCs w:val="24"/>
          <w:lang w:val="en-US" w:eastAsia="zh-CN"/>
        </w:rPr>
        <w:t>936.81</w:t>
      </w:r>
      <w:r>
        <w:rPr>
          <w:rFonts w:hint="eastAsia" w:ascii="宋体" w:hAnsi="宋体" w:eastAsia="宋体" w:cs="宋体"/>
          <w:b w:val="0"/>
          <w:bCs/>
          <w:color w:val="auto"/>
          <w:sz w:val="24"/>
          <w:szCs w:val="24"/>
        </w:rPr>
        <w:t>万元，实际支出</w:t>
      </w:r>
      <w:r>
        <w:rPr>
          <w:rFonts w:hint="eastAsia" w:ascii="宋体" w:hAnsi="宋体" w:eastAsia="宋体" w:cs="宋体"/>
          <w:b w:val="0"/>
          <w:bCs/>
          <w:color w:val="auto"/>
          <w:sz w:val="24"/>
          <w:szCs w:val="24"/>
          <w:lang w:val="en-US" w:eastAsia="zh-CN"/>
        </w:rPr>
        <w:t>756.22</w:t>
      </w:r>
      <w:r>
        <w:rPr>
          <w:rFonts w:hint="eastAsia" w:ascii="宋体" w:hAnsi="宋体" w:eastAsia="宋体" w:cs="宋体"/>
          <w:b w:val="0"/>
          <w:bCs/>
          <w:color w:val="auto"/>
          <w:sz w:val="24"/>
          <w:szCs w:val="24"/>
        </w:rPr>
        <w:t>万元，预算执行率</w:t>
      </w:r>
      <w:r>
        <w:rPr>
          <w:rFonts w:hint="eastAsia" w:ascii="宋体" w:hAnsi="宋体" w:eastAsia="宋体" w:cs="宋体"/>
          <w:b w:val="0"/>
          <w:bCs/>
          <w:color w:val="auto"/>
          <w:sz w:val="24"/>
          <w:szCs w:val="24"/>
          <w:lang w:val="en-US" w:eastAsia="zh-CN"/>
        </w:rPr>
        <w:t>80.72</w:t>
      </w:r>
      <w:r>
        <w:rPr>
          <w:rFonts w:hint="eastAsia" w:ascii="宋体" w:hAnsi="宋体" w:eastAsia="宋体" w:cs="宋体"/>
          <w:b w:val="0"/>
          <w:bCs/>
          <w:color w:val="auto"/>
          <w:sz w:val="24"/>
          <w:szCs w:val="24"/>
        </w:rPr>
        <w:t>%。项目资金使用合规，项目财务管理制度健全，财务监控到位，所有资金支付均按照国库集中支付制度严格执行，现有项目管理制度执行情况良好。</w:t>
      </w:r>
    </w:p>
    <w:p w14:paraId="26BF932D">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项目产出：</w:t>
      </w:r>
      <w:r>
        <w:rPr>
          <w:rFonts w:hint="eastAsia" w:ascii="宋体" w:hAnsi="宋体" w:eastAsia="宋体" w:cs="宋体"/>
          <w:color w:val="auto"/>
          <w:sz w:val="24"/>
          <w:szCs w:val="24"/>
          <w:highlight w:val="none"/>
          <w:lang w:eastAsia="zh-CN"/>
        </w:rPr>
        <w:t>该项目实际完成土地复垦项目地点</w:t>
      </w:r>
      <w:r>
        <w:rPr>
          <w:rFonts w:hint="eastAsia" w:ascii="宋体" w:hAnsi="宋体" w:eastAsia="宋体" w:cs="宋体"/>
          <w:color w:val="auto"/>
          <w:sz w:val="24"/>
          <w:szCs w:val="24"/>
          <w:highlight w:val="none"/>
          <w:lang w:val="en-US" w:eastAsia="zh-CN"/>
        </w:rPr>
        <w:t>5个，指标达到预算目标</w:t>
      </w:r>
      <w:r>
        <w:rPr>
          <w:rFonts w:hint="eastAsia" w:ascii="宋体" w:hAnsi="宋体" w:eastAsia="宋体" w:cs="宋体"/>
          <w:b w:val="0"/>
          <w:bCs/>
          <w:color w:val="auto"/>
          <w:sz w:val="24"/>
          <w:szCs w:val="24"/>
          <w:lang w:val="en-US" w:eastAsia="zh-CN"/>
        </w:rPr>
        <w:t>。</w:t>
      </w:r>
    </w:p>
    <w:p w14:paraId="34ABEEC3">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项目效益：通过实施此项目充分发挥自然资源（国土资源）政策对脱贫攻坚的支持促进作用，加快推进新农村建设。</w:t>
      </w:r>
    </w:p>
    <w:p w14:paraId="21AD8E1B">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（二）综合评价结论</w:t>
      </w:r>
    </w:p>
    <w:p w14:paraId="2F587EB1">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yellow"/>
        </w:rPr>
      </w:pPr>
      <w:r>
        <w:rPr>
          <w:rFonts w:hint="eastAsia" w:ascii="宋体" w:hAnsi="宋体" w:eastAsia="宋体" w:cs="宋体"/>
          <w:b w:val="0"/>
          <w:bCs/>
          <w:color w:val="auto"/>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土地增减挂专项资金-和地财综{2024]9号-2024年土地指标跨省域调剂收入安排的</w:t>
      </w:r>
      <w:r>
        <w:rPr>
          <w:rFonts w:hint="eastAsia" w:ascii="宋体" w:hAnsi="宋体" w:eastAsia="宋体" w:cs="宋体"/>
          <w:b w:val="0"/>
          <w:bCs/>
          <w:color w:val="auto"/>
          <w:sz w:val="24"/>
          <w:szCs w:val="24"/>
          <w:highlight w:val="none"/>
        </w:rPr>
        <w:t>支出预算项目进行客观评价，最终评分结果：评价总分</w:t>
      </w:r>
      <w:r>
        <w:rPr>
          <w:rFonts w:hint="eastAsia" w:ascii="宋体" w:hAnsi="宋体" w:eastAsia="宋体" w:cs="宋体"/>
          <w:b w:val="0"/>
          <w:bCs/>
          <w:color w:val="auto"/>
          <w:sz w:val="24"/>
          <w:szCs w:val="24"/>
          <w:highlight w:val="none"/>
          <w:lang w:val="en-US" w:eastAsia="zh-CN"/>
        </w:rPr>
        <w:t>97.68</w:t>
      </w:r>
      <w:r>
        <w:rPr>
          <w:rFonts w:hint="eastAsia" w:ascii="宋体" w:hAnsi="宋体" w:eastAsia="宋体" w:cs="宋体"/>
          <w:b w:val="0"/>
          <w:bCs/>
          <w:color w:val="auto"/>
          <w:sz w:val="24"/>
          <w:szCs w:val="24"/>
          <w:highlight w:val="none"/>
        </w:rPr>
        <w:t>分，绩效等级为“</w:t>
      </w:r>
      <w:r>
        <w:rPr>
          <w:rFonts w:hint="eastAsia" w:ascii="宋体" w:hAnsi="宋体" w:eastAsia="宋体" w:cs="宋体"/>
          <w:b w:val="0"/>
          <w:bCs/>
          <w:color w:val="auto"/>
          <w:sz w:val="24"/>
          <w:szCs w:val="24"/>
          <w:highlight w:val="none"/>
          <w:lang w:val="en-US" w:eastAsia="zh-CN"/>
        </w:rPr>
        <w:t>优</w:t>
      </w:r>
      <w:r>
        <w:rPr>
          <w:rFonts w:hint="eastAsia" w:ascii="宋体" w:hAnsi="宋体" w:eastAsia="宋体" w:cs="宋体"/>
          <w:b w:val="0"/>
          <w:bCs/>
          <w:color w:val="auto"/>
          <w:sz w:val="24"/>
          <w:szCs w:val="24"/>
          <w:highlight w:val="none"/>
        </w:rPr>
        <w:t>”。</w:t>
      </w:r>
      <w:bookmarkEnd w:id="25"/>
      <w:bookmarkStart w:id="28" w:name="_Toc68364667"/>
      <w:bookmarkEnd w:id="28"/>
    </w:p>
    <w:p w14:paraId="65CA8D96">
      <w:pPr>
        <w:pStyle w:val="2"/>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000000"/>
          <w:sz w:val="24"/>
          <w:szCs w:val="24"/>
          <w:highlight w:val="none"/>
        </w:rPr>
      </w:pPr>
      <w:bookmarkStart w:id="29" w:name="_Toc68364668"/>
      <w:r>
        <w:rPr>
          <w:rFonts w:hint="eastAsia" w:ascii="黑体" w:hAnsi="黑体" w:eastAsia="黑体" w:cs="黑体"/>
          <w:b/>
          <w:bCs/>
          <w:color w:val="000000"/>
          <w:sz w:val="24"/>
          <w:szCs w:val="24"/>
          <w:highlight w:val="none"/>
        </w:rPr>
        <w:t>四、绩效评价指标分析</w:t>
      </w:r>
    </w:p>
    <w:p w14:paraId="6A9B2425">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（一）项目决策情况</w:t>
      </w:r>
    </w:p>
    <w:p w14:paraId="08CD492B">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项目决策类指标包括项目立项、绩效目标和资金投入三方面的内容，由6个三级指标构成，权重分为</w:t>
      </w:r>
      <w:r>
        <w:rPr>
          <w:rFonts w:hint="eastAsia" w:ascii="宋体" w:hAnsi="宋体" w:eastAsia="宋体" w:cs="宋体"/>
          <w:b w:val="0"/>
          <w:bCs/>
          <w:color w:val="auto"/>
          <w:sz w:val="24"/>
          <w:szCs w:val="24"/>
          <w:lang w:val="en-US" w:eastAsia="zh-CN"/>
        </w:rPr>
        <w:t>23</w:t>
      </w:r>
      <w:r>
        <w:rPr>
          <w:rFonts w:hint="eastAsia" w:ascii="宋体" w:hAnsi="宋体" w:eastAsia="宋体" w:cs="宋体"/>
          <w:b w:val="0"/>
          <w:bCs/>
          <w:color w:val="auto"/>
          <w:sz w:val="24"/>
          <w:szCs w:val="24"/>
        </w:rPr>
        <w:t>分，实际得分</w:t>
      </w:r>
      <w:r>
        <w:rPr>
          <w:rFonts w:hint="eastAsia" w:ascii="宋体" w:hAnsi="宋体" w:eastAsia="宋体" w:cs="宋体"/>
          <w:b w:val="0"/>
          <w:bCs/>
          <w:color w:val="auto"/>
          <w:sz w:val="24"/>
          <w:szCs w:val="24"/>
          <w:lang w:val="en-US" w:eastAsia="zh-CN"/>
        </w:rPr>
        <w:t>23</w:t>
      </w:r>
      <w:r>
        <w:rPr>
          <w:rFonts w:hint="eastAsia" w:ascii="宋体" w:hAnsi="宋体" w:eastAsia="宋体" w:cs="宋体"/>
          <w:b w:val="0"/>
          <w:bCs/>
          <w:color w:val="auto"/>
          <w:sz w:val="24"/>
          <w:szCs w:val="24"/>
        </w:rPr>
        <w:t>分，得分率为</w:t>
      </w:r>
      <w:r>
        <w:rPr>
          <w:rFonts w:hint="eastAsia" w:ascii="宋体" w:hAnsi="宋体" w:eastAsia="宋体" w:cs="宋体"/>
          <w:b w:val="0"/>
          <w:bCs/>
          <w:color w:val="auto"/>
          <w:sz w:val="24"/>
          <w:szCs w:val="24"/>
          <w:lang w:val="en-US" w:eastAsia="zh-CN"/>
        </w:rPr>
        <w:t>100</w:t>
      </w:r>
      <w:r>
        <w:rPr>
          <w:rFonts w:hint="eastAsia" w:ascii="宋体" w:hAnsi="宋体" w:eastAsia="宋体" w:cs="宋体"/>
          <w:b w:val="0"/>
          <w:bCs/>
          <w:color w:val="auto"/>
          <w:sz w:val="24"/>
          <w:szCs w:val="24"/>
        </w:rPr>
        <w:t>%。</w:t>
      </w:r>
    </w:p>
    <w:p w14:paraId="7DE01AD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4FF0346A">
      <w:pPr>
        <w:keepNext w:val="0"/>
        <w:keepLines w:val="0"/>
        <w:pageBreakBefore w:val="0"/>
        <w:widowControl w:val="0"/>
        <w:numPr>
          <w:ilvl w:val="0"/>
          <w:numId w:val="0"/>
        </w:numPr>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rPr>
        <w:t>本项目立项符合</w:t>
      </w:r>
      <w:r>
        <w:rPr>
          <w:rFonts w:hint="eastAsia" w:ascii="宋体" w:hAnsi="宋体" w:eastAsia="宋体" w:cs="宋体"/>
          <w:b w:val="0"/>
          <w:bCs/>
          <w:i w:val="0"/>
          <w:iCs w:val="0"/>
          <w:caps w:val="0"/>
          <w:color w:val="auto"/>
          <w:spacing w:val="0"/>
          <w:sz w:val="24"/>
          <w:szCs w:val="24"/>
        </w:rPr>
        <w:t>《中共中央办公厅国务院办公厅印发&lt;关于支持深度贫困地区脱贫攻坚的实施意见&gt;的通知》（厅字〔2017〕41号）、《国务院办公厅关于印发跨省域补充耕地国家统筹管理办法和城乡建设用地增减挂钩节余指标跨省域调剂管理办法的通知》（国办发〔2018〕16号）等文件</w:t>
      </w:r>
      <w:r>
        <w:rPr>
          <w:rFonts w:hint="eastAsia" w:ascii="宋体" w:hAnsi="宋体" w:eastAsia="宋体" w:cs="宋体"/>
          <w:b w:val="0"/>
          <w:bCs/>
          <w:color w:val="auto"/>
          <w:sz w:val="24"/>
          <w:szCs w:val="24"/>
        </w:rPr>
        <w:t>中：“</w:t>
      </w:r>
      <w:bookmarkStart w:id="30" w:name="OLE_LINK36"/>
      <w:r>
        <w:rPr>
          <w:rFonts w:hint="eastAsia" w:ascii="宋体" w:hAnsi="宋体" w:eastAsia="宋体" w:cs="宋体"/>
          <w:b w:val="0"/>
          <w:bCs/>
          <w:color w:val="auto"/>
          <w:sz w:val="24"/>
          <w:szCs w:val="24"/>
        </w:rPr>
        <w:t>土地增减挂专项资金-和地财综{2024]9号-2024年土地指标跨省域调剂收入安排的支出预算</w:t>
      </w:r>
      <w:bookmarkEnd w:id="30"/>
      <w:r>
        <w:rPr>
          <w:rFonts w:hint="eastAsia" w:ascii="宋体" w:hAnsi="宋体" w:eastAsia="宋体" w:cs="宋体"/>
          <w:b w:val="0"/>
          <w:bCs/>
          <w:color w:val="auto"/>
          <w:sz w:val="24"/>
          <w:szCs w:val="24"/>
        </w:rPr>
        <w:t>”；本项目立项符合</w:t>
      </w:r>
      <w:r>
        <w:rPr>
          <w:rFonts w:hint="eastAsia" w:ascii="宋体" w:hAnsi="宋体" w:eastAsia="宋体" w:cs="宋体"/>
          <w:b w:val="0"/>
          <w:bCs/>
          <w:color w:val="auto"/>
          <w:sz w:val="24"/>
          <w:szCs w:val="24"/>
          <w:lang w:val="en-US" w:eastAsia="zh-CN"/>
        </w:rPr>
        <w:t>地区发改委下达《关于下达2024年土地指标跨省域调剂收入安排的支出预算的通知》（和地财综〔2024〕9号）</w:t>
      </w:r>
      <w:r>
        <w:rPr>
          <w:rFonts w:hint="eastAsia" w:ascii="宋体" w:hAnsi="宋体" w:eastAsia="宋体" w:cs="宋体"/>
          <w:b w:val="0"/>
          <w:bCs/>
          <w:color w:val="auto"/>
          <w:sz w:val="24"/>
          <w:szCs w:val="24"/>
        </w:rPr>
        <w:t>，符合行业发展规划和政策要求；本项目立项符合《</w:t>
      </w:r>
      <w:r>
        <w:rPr>
          <w:rFonts w:hint="eastAsia" w:ascii="宋体" w:hAnsi="宋体" w:eastAsia="宋体" w:cs="宋体"/>
          <w:b w:val="0"/>
          <w:bCs/>
          <w:color w:val="auto"/>
          <w:sz w:val="24"/>
          <w:szCs w:val="24"/>
          <w:lang w:eastAsia="zh-CN"/>
        </w:rPr>
        <w:t>行政</w:t>
      </w:r>
      <w:r>
        <w:rPr>
          <w:rFonts w:hint="eastAsia" w:ascii="宋体" w:hAnsi="宋体" w:eastAsia="宋体" w:cs="宋体"/>
          <w:b w:val="0"/>
          <w:bCs/>
          <w:color w:val="auto"/>
          <w:sz w:val="24"/>
          <w:szCs w:val="24"/>
        </w:rPr>
        <w:t>单位配置内设机构和人员编制规定》中职责范围中的“</w:t>
      </w:r>
      <w:r>
        <w:rPr>
          <w:rFonts w:hint="eastAsia" w:ascii="宋体" w:hAnsi="宋体" w:eastAsia="宋体" w:cs="宋体"/>
          <w:b w:val="0"/>
          <w:bCs/>
          <w:color w:val="auto"/>
          <w:sz w:val="24"/>
          <w:szCs w:val="24"/>
          <w:lang w:eastAsia="zh-CN"/>
        </w:rPr>
        <w:t>机构职能</w:t>
      </w:r>
      <w:r>
        <w:rPr>
          <w:rFonts w:hint="eastAsia" w:ascii="宋体" w:hAnsi="宋体" w:eastAsia="宋体" w:cs="宋体"/>
          <w:b w:val="0"/>
          <w:bCs/>
          <w:color w:val="auto"/>
          <w:sz w:val="24"/>
          <w:szCs w:val="24"/>
        </w:rPr>
        <w:t>”，属于我单位履职所需；根据《财政资金直接支付申请书》，本项目资金性质为“公共财政预算”功能分类为“</w:t>
      </w:r>
      <w:r>
        <w:rPr>
          <w:rFonts w:hint="eastAsia" w:ascii="宋体" w:hAnsi="宋体" w:eastAsia="宋体" w:cs="宋体"/>
          <w:b w:val="0"/>
          <w:bCs/>
          <w:color w:val="auto"/>
          <w:sz w:val="24"/>
          <w:szCs w:val="24"/>
          <w:lang w:val="en-US" w:eastAsia="zh-CN"/>
        </w:rPr>
        <w:t>2130599</w:t>
      </w:r>
      <w:r>
        <w:rPr>
          <w:rFonts w:hint="eastAsia" w:ascii="宋体" w:hAnsi="宋体" w:eastAsia="宋体" w:cs="宋体"/>
          <w:b w:val="0"/>
          <w:bCs/>
          <w:color w:val="auto"/>
          <w:sz w:val="24"/>
          <w:szCs w:val="24"/>
        </w:rPr>
        <w:t>”经济分类为“</w:t>
      </w:r>
      <w:r>
        <w:rPr>
          <w:rFonts w:hint="eastAsia" w:ascii="宋体" w:hAnsi="宋体" w:eastAsia="宋体" w:cs="宋体"/>
          <w:b w:val="0"/>
          <w:bCs/>
          <w:color w:val="auto"/>
          <w:sz w:val="24"/>
          <w:szCs w:val="24"/>
          <w:lang w:val="en-US" w:eastAsia="zh-CN"/>
        </w:rPr>
        <w:t>30260</w:t>
      </w:r>
      <w:r>
        <w:rPr>
          <w:rFonts w:hint="eastAsia" w:ascii="宋体" w:hAnsi="宋体" w:eastAsia="宋体" w:cs="宋体"/>
          <w:b w:val="0"/>
          <w:bCs/>
          <w:color w:val="auto"/>
          <w:sz w:val="24"/>
          <w:szCs w:val="24"/>
        </w:rPr>
        <w:t>”属</w:t>
      </w:r>
      <w:r>
        <w:rPr>
          <w:rFonts w:hint="eastAsia" w:ascii="宋体" w:hAnsi="宋体" w:eastAsia="宋体" w:cs="宋体"/>
          <w:b w:val="0"/>
          <w:bCs/>
          <w:color w:val="auto"/>
          <w:sz w:val="24"/>
          <w:szCs w:val="24"/>
          <w:highlight w:val="none"/>
        </w:rPr>
        <w:t>于公共财政支持范围，符合中央、地方事权支出责任划分原则；经检查我单位财政应用平台指标，本项目不存在重复。</w:t>
      </w:r>
    </w:p>
    <w:p w14:paraId="184183F3">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综上所述，本指标满分为</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分，根据评分标准得</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分，本项目立项依据充分。</w:t>
      </w:r>
    </w:p>
    <w:p w14:paraId="6E5A28F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51FCEDAD">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color w:val="000000"/>
          <w:sz w:val="24"/>
          <w:szCs w:val="24"/>
          <w:highlight w:val="none"/>
        </w:rPr>
        <w:t>本项目按照规定的程序申请设立，项目立项过程中产生的文件均符合相关要求。</w:t>
      </w:r>
      <w:r>
        <w:rPr>
          <w:rFonts w:hint="eastAsia" w:ascii="宋体" w:hAnsi="宋体" w:eastAsia="宋体" w:cs="宋体"/>
          <w:b w:val="0"/>
          <w:bCs/>
          <w:color w:val="auto"/>
          <w:sz w:val="24"/>
          <w:szCs w:val="24"/>
          <w:highlight w:val="none"/>
        </w:rPr>
        <w:t>本项目属于经常性项目，项目预算金额为</w:t>
      </w:r>
      <w:r>
        <w:rPr>
          <w:rFonts w:hint="eastAsia" w:ascii="宋体" w:hAnsi="宋体" w:eastAsia="宋体" w:cs="宋体"/>
          <w:b w:val="0"/>
          <w:bCs/>
          <w:color w:val="auto"/>
          <w:sz w:val="24"/>
          <w:szCs w:val="24"/>
          <w:highlight w:val="none"/>
          <w:lang w:val="en-US" w:eastAsia="zh-CN"/>
        </w:rPr>
        <w:t>936.81</w:t>
      </w:r>
      <w:r>
        <w:rPr>
          <w:rFonts w:hint="eastAsia" w:ascii="宋体" w:hAnsi="宋体" w:eastAsia="宋体" w:cs="宋体"/>
          <w:b w:val="0"/>
          <w:bCs/>
          <w:color w:val="auto"/>
          <w:sz w:val="24"/>
          <w:szCs w:val="24"/>
          <w:highlight w:val="none"/>
        </w:rPr>
        <w:t>万元，不涉及事前绩效评估和风险评估，已委托</w:t>
      </w:r>
      <w:r>
        <w:rPr>
          <w:rFonts w:hint="eastAsia" w:ascii="宋体" w:hAnsi="宋体" w:eastAsia="宋体" w:cs="宋体"/>
          <w:b w:val="0"/>
          <w:bCs/>
          <w:color w:val="auto"/>
          <w:sz w:val="24"/>
          <w:szCs w:val="24"/>
          <w:lang w:val="en-US" w:eastAsia="zh-CN"/>
        </w:rPr>
        <w:t>新疆吉农土地勘测规划设计院有限公司和新疆中地信土地勘测规划咨询有限公司、广州鸿鑫动测技术有限公司</w:t>
      </w:r>
      <w:r>
        <w:rPr>
          <w:rFonts w:hint="eastAsia" w:ascii="宋体" w:hAnsi="宋体" w:eastAsia="宋体" w:cs="宋体"/>
          <w:b w:val="0"/>
          <w:bCs/>
          <w:color w:val="auto"/>
          <w:sz w:val="24"/>
          <w:szCs w:val="24"/>
          <w:highlight w:val="none"/>
        </w:rPr>
        <w:t>单位完成本项目可行性研究报告的编制，并经过专家论证。</w:t>
      </w:r>
    </w:p>
    <w:p w14:paraId="394F940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highlight w:val="none"/>
        </w:rPr>
        <w:t>综上所述，本指标满分为3分，根</w:t>
      </w:r>
      <w:r>
        <w:rPr>
          <w:rFonts w:hint="eastAsia" w:ascii="宋体" w:hAnsi="宋体" w:eastAsia="宋体" w:cs="宋体"/>
          <w:b w:val="0"/>
          <w:bCs/>
          <w:color w:val="auto"/>
          <w:sz w:val="24"/>
          <w:szCs w:val="24"/>
        </w:rPr>
        <w:t>据评分标准得</w:t>
      </w:r>
      <w:r>
        <w:rPr>
          <w:rFonts w:hint="eastAsia" w:ascii="宋体" w:hAnsi="宋体" w:eastAsia="宋体" w:cs="宋体"/>
          <w:b w:val="0"/>
          <w:bCs/>
          <w:color w:val="auto"/>
          <w:sz w:val="24"/>
          <w:szCs w:val="24"/>
          <w:lang w:val="en-US" w:eastAsia="zh-CN"/>
        </w:rPr>
        <w:t>3</w:t>
      </w:r>
      <w:r>
        <w:rPr>
          <w:rFonts w:hint="eastAsia" w:ascii="宋体" w:hAnsi="宋体" w:eastAsia="宋体" w:cs="宋体"/>
          <w:b w:val="0"/>
          <w:bCs/>
          <w:color w:val="auto"/>
          <w:sz w:val="24"/>
          <w:szCs w:val="24"/>
        </w:rPr>
        <w:t>分，本项目立项程序合规。</w:t>
      </w:r>
    </w:p>
    <w:p w14:paraId="3E019EA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color w:val="auto"/>
          <w:sz w:val="24"/>
          <w:szCs w:val="24"/>
        </w:rPr>
      </w:pPr>
      <w:r>
        <w:rPr>
          <w:rFonts w:hint="eastAsia" w:ascii="宋体" w:hAnsi="宋体" w:eastAsia="宋体" w:cs="宋体"/>
          <w:b/>
          <w:bCs/>
          <w:color w:val="000000"/>
          <w:sz w:val="24"/>
          <w:szCs w:val="24"/>
          <w:highlight w:val="none"/>
          <w:lang w:val="en-US" w:eastAsia="zh-CN"/>
        </w:rPr>
        <w:t>3.绩效目标合理性</w:t>
      </w:r>
    </w:p>
    <w:p w14:paraId="2A9A76F8">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lang w:val="en-US" w:eastAsia="zh-CN"/>
        </w:rPr>
        <w:t>该项目年初设定绩效目标主要内容为：根据和地财综【2024】9号文件精神实施该项目，主要内容：涉及土地复垦项目地点数量5个，充分发挥自然资源（国土资源）政策对脱贫攻坚的支持促进作用，加快推进新农村建设</w:t>
      </w:r>
      <w:r>
        <w:rPr>
          <w:rFonts w:hint="eastAsia" w:ascii="宋体" w:hAnsi="宋体" w:eastAsia="宋体" w:cs="宋体"/>
          <w:b w:val="0"/>
          <w:bCs/>
          <w:color w:val="auto"/>
          <w:sz w:val="24"/>
          <w:szCs w:val="24"/>
          <w:highlight w:val="none"/>
        </w:rPr>
        <w:t>。</w:t>
      </w:r>
    </w:p>
    <w:p w14:paraId="6514C19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1BE93048">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6D473101">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经检查我单位年初设置的《2024年土地指标跨省域调剂收入安排的支出预算项目支出绩效目标表》，得出如下结论：本项目已将年度绩效目标进行细化为绩效指标体系，共设置一级指标4个，二级指标6个，三级指标8个，定量指标7个，定性指标1个，指标量化率为87.50%，量化率达70.0%以上，将项目绩效目标细化分解为具体的绩效指标。</w:t>
      </w:r>
    </w:p>
    <w:p w14:paraId="3486AA21">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该《2024年土地指标跨省域调剂收入安排的支出预算项目绩效目标申报表》中，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w:t>
      </w:r>
      <w:r>
        <w:rPr>
          <w:rFonts w:hint="eastAsia" w:ascii="宋体" w:hAnsi="宋体" w:eastAsia="宋体" w:cs="宋体"/>
          <w:color w:val="auto"/>
          <w:sz w:val="24"/>
          <w:szCs w:val="24"/>
          <w:highlight w:val="none"/>
          <w:lang w:val="en-US" w:eastAsia="zh-CN"/>
        </w:rPr>
        <w:t>涉及土地复垦项目地点数量</w:t>
      </w:r>
      <w:r>
        <w:rPr>
          <w:rFonts w:hint="eastAsia" w:ascii="宋体" w:hAnsi="宋体" w:eastAsia="宋体" w:cs="宋体"/>
          <w:color w:val="000000"/>
          <w:sz w:val="24"/>
          <w:szCs w:val="24"/>
          <w:highlight w:val="none"/>
          <w:lang w:eastAsia="zh-CN"/>
        </w:rPr>
        <w:t>”</w:t>
      </w:r>
      <w:r>
        <w:rPr>
          <w:rFonts w:hint="eastAsia" w:ascii="宋体" w:hAnsi="宋体" w:eastAsia="宋体" w:cs="宋体"/>
          <w:color w:val="auto"/>
          <w:sz w:val="24"/>
          <w:szCs w:val="24"/>
          <w:highlight w:val="none"/>
          <w:lang w:val="en-US" w:eastAsia="zh-CN"/>
        </w:rPr>
        <w:t>，三级指标的年度指标值与年度绩效目标中任务数一致，已设置时效指标“项目完成时间，资金支付及时率”。已设置的绩效目标具备明确性、可衡量性、可实现性、相关性、时限性。</w:t>
      </w:r>
    </w:p>
    <w:p w14:paraId="3283C92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007B8BB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688896E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：涉及土地复垦项目地点数量5个，</w:t>
      </w:r>
      <w:r>
        <w:rPr>
          <w:rFonts w:hint="eastAsia" w:ascii="宋体" w:hAnsi="宋体" w:eastAsia="宋体" w:cs="宋体"/>
          <w:color w:val="000000"/>
          <w:sz w:val="24"/>
          <w:szCs w:val="24"/>
          <w:highlight w:val="none"/>
        </w:rPr>
        <w:t>预算申请与《</w:t>
      </w:r>
      <w:r>
        <w:rPr>
          <w:rFonts w:hint="eastAsia" w:ascii="宋体" w:hAnsi="宋体" w:eastAsia="宋体" w:cs="宋体"/>
          <w:color w:val="000000"/>
          <w:sz w:val="24"/>
          <w:szCs w:val="24"/>
          <w:highlight w:val="none"/>
          <w:lang w:val="en-US" w:eastAsia="zh-CN"/>
        </w:rPr>
        <w:t>2024年土地指标跨省域调剂收入安排的支出预算</w:t>
      </w:r>
      <w:r>
        <w:rPr>
          <w:rFonts w:hint="eastAsia" w:ascii="宋体" w:hAnsi="宋体" w:eastAsia="宋体" w:cs="宋体"/>
          <w:color w:val="000000"/>
          <w:sz w:val="24"/>
          <w:szCs w:val="24"/>
          <w:highlight w:val="none"/>
        </w:rPr>
        <w:t>项目实施方案》中涉及的项目内容匹配；本项目预算申请资金</w:t>
      </w:r>
      <w:r>
        <w:rPr>
          <w:rFonts w:hint="eastAsia" w:ascii="宋体" w:hAnsi="宋体" w:eastAsia="宋体" w:cs="宋体"/>
          <w:color w:val="000000"/>
          <w:sz w:val="24"/>
          <w:szCs w:val="24"/>
          <w:highlight w:val="none"/>
          <w:lang w:val="en-US" w:eastAsia="zh-CN"/>
        </w:rPr>
        <w:t>936.81</w:t>
      </w:r>
      <w:r>
        <w:rPr>
          <w:rFonts w:hint="eastAsia" w:ascii="宋体" w:hAnsi="宋体" w:eastAsia="宋体" w:cs="宋体"/>
          <w:color w:val="000000"/>
          <w:sz w:val="24"/>
          <w:szCs w:val="24"/>
          <w:highlight w:val="none"/>
        </w:rPr>
        <w:t>万元，我单位在预算申请中严格按照项目实施内容及测算标准进行核算，其中：农民补偿费用</w:t>
      </w:r>
      <w:r>
        <w:rPr>
          <w:rFonts w:hint="eastAsia" w:ascii="宋体" w:hAnsi="宋体" w:eastAsia="宋体" w:cs="宋体"/>
          <w:color w:val="000000"/>
          <w:sz w:val="24"/>
          <w:szCs w:val="24"/>
          <w:highlight w:val="none"/>
          <w:lang w:val="en-US" w:eastAsia="zh-CN"/>
        </w:rPr>
        <w:t>260</w:t>
      </w:r>
      <w:r>
        <w:rPr>
          <w:rFonts w:hint="eastAsia" w:ascii="宋体" w:hAnsi="宋体" w:eastAsia="宋体" w:cs="宋体"/>
          <w:color w:val="000000"/>
          <w:sz w:val="24"/>
          <w:szCs w:val="24"/>
          <w:highlight w:val="none"/>
        </w:rPr>
        <w:t>万元、</w:t>
      </w:r>
      <w:r>
        <w:rPr>
          <w:rFonts w:hint="eastAsia" w:ascii="宋体" w:hAnsi="宋体" w:eastAsia="宋体" w:cs="宋体"/>
          <w:color w:val="000000"/>
          <w:sz w:val="24"/>
          <w:szCs w:val="24"/>
          <w:highlight w:val="none"/>
          <w:lang w:eastAsia="zh-CN"/>
        </w:rPr>
        <w:t>审计</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13.61</w:t>
      </w:r>
      <w:r>
        <w:rPr>
          <w:rFonts w:hint="eastAsia" w:ascii="宋体" w:hAnsi="宋体" w:eastAsia="宋体" w:cs="宋体"/>
          <w:color w:val="000000"/>
          <w:sz w:val="24"/>
          <w:szCs w:val="24"/>
          <w:highlight w:val="none"/>
        </w:rPr>
        <w:t>万元</w:t>
      </w:r>
      <w:r>
        <w:rPr>
          <w:rFonts w:hint="eastAsia" w:ascii="宋体" w:hAnsi="宋体" w:eastAsia="宋体" w:cs="宋体"/>
          <w:color w:val="000000"/>
          <w:sz w:val="24"/>
          <w:szCs w:val="24"/>
          <w:highlight w:val="none"/>
          <w:lang w:eastAsia="zh-CN"/>
        </w:rPr>
        <w:t>，监理</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29.31</w:t>
      </w:r>
      <w:r>
        <w:rPr>
          <w:rFonts w:hint="eastAsia" w:ascii="宋体" w:hAnsi="宋体" w:eastAsia="宋体" w:cs="宋体"/>
          <w:color w:val="000000"/>
          <w:sz w:val="24"/>
          <w:szCs w:val="24"/>
          <w:highlight w:val="none"/>
        </w:rPr>
        <w:t>万元</w:t>
      </w:r>
      <w:r>
        <w:rPr>
          <w:rFonts w:hint="eastAsia" w:ascii="宋体" w:hAnsi="宋体" w:eastAsia="宋体" w:cs="宋体"/>
          <w:color w:val="000000"/>
          <w:sz w:val="24"/>
          <w:szCs w:val="24"/>
          <w:highlight w:val="none"/>
          <w:lang w:val="en-US" w:eastAsia="zh-CN"/>
        </w:rPr>
        <w:t>等，</w:t>
      </w:r>
      <w:r>
        <w:rPr>
          <w:rFonts w:hint="eastAsia" w:ascii="宋体" w:hAnsi="宋体" w:eastAsia="宋体" w:cs="宋体"/>
          <w:color w:val="000000"/>
          <w:sz w:val="24"/>
          <w:szCs w:val="24"/>
          <w:highlight w:val="none"/>
        </w:rPr>
        <w:t>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74365D2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13A417C8">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2ED0190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本项目实际分配资金以《2024年土地指标跨省域调剂收入安排的支出预算项目资金的请示》和《</w:t>
      </w:r>
      <w:bookmarkStart w:id="31" w:name="OLE_LINK38"/>
      <w:r>
        <w:rPr>
          <w:rFonts w:hint="eastAsia" w:ascii="宋体" w:hAnsi="宋体" w:eastAsia="宋体" w:cs="宋体"/>
          <w:color w:val="000000"/>
          <w:sz w:val="24"/>
          <w:szCs w:val="24"/>
          <w:highlight w:val="none"/>
        </w:rPr>
        <w:t>土地增减挂专项资金-和地财综{2024]9号-2024年土地指标跨省域调剂收入安排的支出预算</w:t>
      </w:r>
      <w:bookmarkEnd w:id="31"/>
      <w:r>
        <w:rPr>
          <w:rFonts w:hint="eastAsia" w:ascii="宋体" w:hAnsi="宋体" w:eastAsia="宋体" w:cs="宋体"/>
          <w:color w:val="000000"/>
          <w:sz w:val="24"/>
          <w:szCs w:val="24"/>
          <w:highlight w:val="none"/>
        </w:rPr>
        <w:t>项目实施方案》为依据进行资金分配，预算资金分配依据充分。根据《</w:t>
      </w:r>
      <w:r>
        <w:rPr>
          <w:rFonts w:hint="eastAsia" w:ascii="宋体" w:hAnsi="宋体" w:eastAsia="宋体" w:cs="宋体"/>
          <w:color w:val="000000"/>
          <w:sz w:val="24"/>
          <w:szCs w:val="24"/>
          <w:highlight w:val="none"/>
          <w:lang w:val="en-US" w:eastAsia="zh-CN"/>
        </w:rPr>
        <w:t>土地增减挂专项资金</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和地财综{2024]9号</w:t>
      </w:r>
      <w:r>
        <w:rPr>
          <w:rFonts w:hint="eastAsia" w:ascii="宋体" w:hAnsi="宋体" w:eastAsia="宋体" w:cs="宋体"/>
          <w:color w:val="000000"/>
          <w:sz w:val="24"/>
          <w:szCs w:val="24"/>
          <w:highlight w:val="none"/>
        </w:rPr>
        <w:t>），本项目实际到位资金</w:t>
      </w:r>
      <w:r>
        <w:rPr>
          <w:rFonts w:hint="eastAsia" w:ascii="宋体" w:hAnsi="宋体" w:eastAsia="宋体" w:cs="宋体"/>
          <w:color w:val="000000"/>
          <w:sz w:val="24"/>
          <w:szCs w:val="24"/>
          <w:highlight w:val="none"/>
          <w:lang w:val="en-US" w:eastAsia="zh-CN"/>
        </w:rPr>
        <w:t>936.81</w:t>
      </w:r>
      <w:r>
        <w:rPr>
          <w:rFonts w:hint="eastAsia" w:ascii="宋体" w:hAnsi="宋体" w:eastAsia="宋体" w:cs="宋体"/>
          <w:color w:val="000000"/>
          <w:sz w:val="24"/>
          <w:szCs w:val="24"/>
          <w:highlight w:val="none"/>
        </w:rPr>
        <w:t>万元，资金分配额度合理，与我单位实际需求相适应</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资金分配与实际相适应</w:t>
      </w:r>
      <w:r>
        <w:rPr>
          <w:rFonts w:hint="eastAsia" w:ascii="宋体" w:hAnsi="宋体" w:eastAsia="宋体" w:cs="宋体"/>
          <w:color w:val="000000"/>
          <w:sz w:val="24"/>
          <w:szCs w:val="24"/>
          <w:highlight w:val="none"/>
          <w:lang w:eastAsia="zh-CN"/>
        </w:rPr>
        <w:t>。</w:t>
      </w:r>
    </w:p>
    <w:p w14:paraId="4BF59B9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544E72B8">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（二）项目过程情况</w:t>
      </w:r>
    </w:p>
    <w:p w14:paraId="7B56245B">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项目过程类指标包括资金管理和组织实施两方面的内容，由5个三级指标构成，权重分为</w:t>
      </w:r>
      <w:r>
        <w:rPr>
          <w:rFonts w:hint="eastAsia" w:ascii="宋体" w:hAnsi="宋体" w:eastAsia="宋体" w:cs="宋体"/>
          <w:b w:val="0"/>
          <w:bCs/>
          <w:color w:val="auto"/>
          <w:sz w:val="24"/>
          <w:szCs w:val="24"/>
          <w:highlight w:val="none"/>
          <w:lang w:val="en-US" w:eastAsia="zh-CN"/>
        </w:rPr>
        <w:t>12</w:t>
      </w:r>
      <w:r>
        <w:rPr>
          <w:rFonts w:hint="eastAsia" w:ascii="宋体" w:hAnsi="宋体" w:eastAsia="宋体" w:cs="宋体"/>
          <w:b w:val="0"/>
          <w:bCs/>
          <w:color w:val="auto"/>
          <w:sz w:val="24"/>
          <w:szCs w:val="24"/>
          <w:highlight w:val="none"/>
        </w:rPr>
        <w:t>分，实际得分</w:t>
      </w:r>
      <w:r>
        <w:rPr>
          <w:rFonts w:hint="eastAsia" w:ascii="宋体" w:hAnsi="宋体" w:eastAsia="宋体" w:cs="宋体"/>
          <w:b w:val="0"/>
          <w:bCs/>
          <w:color w:val="auto"/>
          <w:sz w:val="24"/>
          <w:szCs w:val="24"/>
          <w:highlight w:val="none"/>
          <w:lang w:val="en-US" w:eastAsia="zh-CN"/>
        </w:rPr>
        <w:t>11.61</w:t>
      </w:r>
      <w:r>
        <w:rPr>
          <w:rFonts w:hint="eastAsia" w:ascii="宋体" w:hAnsi="宋体" w:eastAsia="宋体" w:cs="宋体"/>
          <w:b w:val="0"/>
          <w:bCs/>
          <w:color w:val="auto"/>
          <w:sz w:val="24"/>
          <w:szCs w:val="24"/>
          <w:highlight w:val="none"/>
        </w:rPr>
        <w:t>分，得分率为</w:t>
      </w:r>
      <w:r>
        <w:rPr>
          <w:rFonts w:hint="eastAsia" w:ascii="宋体" w:hAnsi="宋体" w:eastAsia="宋体" w:cs="宋体"/>
          <w:b w:val="0"/>
          <w:bCs/>
          <w:color w:val="auto"/>
          <w:sz w:val="24"/>
          <w:szCs w:val="24"/>
          <w:highlight w:val="none"/>
          <w:lang w:val="en-US" w:eastAsia="zh-CN"/>
        </w:rPr>
        <w:t>96.75</w:t>
      </w:r>
      <w:r>
        <w:rPr>
          <w:rFonts w:hint="eastAsia" w:ascii="宋体" w:hAnsi="宋体" w:eastAsia="宋体" w:cs="宋体"/>
          <w:b w:val="0"/>
          <w:bCs/>
          <w:color w:val="auto"/>
          <w:sz w:val="24"/>
          <w:szCs w:val="24"/>
          <w:highlight w:val="none"/>
        </w:rPr>
        <w:t>%。</w:t>
      </w:r>
    </w:p>
    <w:p w14:paraId="2A824899">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20FF7AE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本项目预算资金为</w:t>
      </w:r>
      <w:r>
        <w:rPr>
          <w:rFonts w:hint="eastAsia" w:ascii="宋体" w:hAnsi="宋体" w:eastAsia="宋体" w:cs="宋体"/>
          <w:b w:val="0"/>
          <w:bCs/>
          <w:color w:val="auto"/>
          <w:sz w:val="24"/>
          <w:szCs w:val="24"/>
          <w:highlight w:val="none"/>
          <w:lang w:val="en-US" w:eastAsia="zh-CN"/>
        </w:rPr>
        <w:t>936.81</w:t>
      </w:r>
      <w:r>
        <w:rPr>
          <w:rFonts w:hint="eastAsia" w:ascii="宋体" w:hAnsi="宋体" w:eastAsia="宋体" w:cs="宋体"/>
          <w:b w:val="0"/>
          <w:bCs/>
          <w:color w:val="auto"/>
          <w:sz w:val="24"/>
          <w:szCs w:val="24"/>
          <w:highlight w:val="none"/>
        </w:rPr>
        <w:t>万元，其中：财政安排资金</w:t>
      </w:r>
      <w:bookmarkStart w:id="32" w:name="OLE_LINK37"/>
      <w:r>
        <w:rPr>
          <w:rFonts w:hint="eastAsia" w:ascii="宋体" w:hAnsi="宋体" w:eastAsia="宋体" w:cs="宋体"/>
          <w:b w:val="0"/>
          <w:bCs/>
          <w:color w:val="auto"/>
          <w:sz w:val="24"/>
          <w:szCs w:val="24"/>
          <w:highlight w:val="none"/>
          <w:lang w:val="en-US" w:eastAsia="zh-CN"/>
        </w:rPr>
        <w:t>936.81</w:t>
      </w:r>
      <w:bookmarkEnd w:id="32"/>
      <w:r>
        <w:rPr>
          <w:rFonts w:hint="eastAsia" w:ascii="宋体" w:hAnsi="宋体" w:eastAsia="宋体" w:cs="宋体"/>
          <w:b w:val="0"/>
          <w:bCs/>
          <w:color w:val="auto"/>
          <w:sz w:val="24"/>
          <w:szCs w:val="24"/>
          <w:highlight w:val="none"/>
        </w:rPr>
        <w:t>万元，其他资金</w:t>
      </w:r>
      <w:r>
        <w:rPr>
          <w:rFonts w:hint="eastAsia" w:ascii="宋体" w:hAnsi="宋体" w:eastAsia="宋体" w:cs="宋体"/>
          <w:b w:val="0"/>
          <w:bCs/>
          <w:color w:val="auto"/>
          <w:sz w:val="24"/>
          <w:szCs w:val="24"/>
          <w:highlight w:val="none"/>
          <w:lang w:val="en-US" w:eastAsia="zh-CN"/>
        </w:rPr>
        <w:t>0</w:t>
      </w:r>
      <w:r>
        <w:rPr>
          <w:rFonts w:hint="eastAsia" w:ascii="宋体" w:hAnsi="宋体" w:eastAsia="宋体" w:cs="宋体"/>
          <w:b w:val="0"/>
          <w:bCs/>
          <w:color w:val="auto"/>
          <w:sz w:val="24"/>
          <w:szCs w:val="24"/>
          <w:highlight w:val="none"/>
        </w:rPr>
        <w:t>万元，实际到位资金</w:t>
      </w:r>
      <w:r>
        <w:rPr>
          <w:rFonts w:hint="eastAsia" w:ascii="宋体" w:hAnsi="宋体" w:eastAsia="宋体" w:cs="宋体"/>
          <w:b w:val="0"/>
          <w:bCs/>
          <w:color w:val="auto"/>
          <w:sz w:val="24"/>
          <w:szCs w:val="24"/>
          <w:highlight w:val="none"/>
          <w:lang w:val="en-US" w:eastAsia="zh-CN"/>
        </w:rPr>
        <w:t>936.81</w:t>
      </w:r>
      <w:r>
        <w:rPr>
          <w:rFonts w:hint="eastAsia" w:ascii="宋体" w:hAnsi="宋体" w:eastAsia="宋体" w:cs="宋体"/>
          <w:b w:val="0"/>
          <w:bCs/>
          <w:color w:val="auto"/>
          <w:sz w:val="24"/>
          <w:szCs w:val="24"/>
          <w:highlight w:val="none"/>
        </w:rPr>
        <w:t>万元，资金到位率</w:t>
      </w:r>
      <w:r>
        <w:rPr>
          <w:rFonts w:hint="eastAsia" w:ascii="宋体" w:hAnsi="宋体" w:eastAsia="宋体" w:cs="宋体"/>
          <w:b w:val="0"/>
          <w:bCs/>
          <w:color w:val="auto"/>
          <w:sz w:val="24"/>
          <w:szCs w:val="24"/>
          <w:highlight w:val="none"/>
          <w:lang w:val="en-US" w:eastAsia="zh-CN"/>
        </w:rPr>
        <w:t>100%；通过分析可知，该项目</w:t>
      </w:r>
      <w:r>
        <w:rPr>
          <w:rFonts w:hint="eastAsia" w:ascii="宋体" w:hAnsi="宋体" w:eastAsia="宋体" w:cs="宋体"/>
          <w:b w:val="0"/>
          <w:bCs/>
          <w:color w:val="auto"/>
          <w:sz w:val="24"/>
          <w:szCs w:val="24"/>
          <w:highlight w:val="none"/>
        </w:rPr>
        <w:t>财政资金足额拨付到位，能够及时足额</w:t>
      </w:r>
      <w:r>
        <w:rPr>
          <w:rFonts w:hint="eastAsia" w:ascii="宋体" w:hAnsi="宋体" w:eastAsia="宋体" w:cs="宋体"/>
          <w:b w:val="0"/>
          <w:bCs/>
          <w:color w:val="auto"/>
          <w:sz w:val="24"/>
          <w:szCs w:val="24"/>
          <w:highlight w:val="none"/>
          <w:lang w:val="en-US" w:eastAsia="zh-CN"/>
        </w:rPr>
        <w:t>支付</w:t>
      </w:r>
      <w:r>
        <w:rPr>
          <w:rFonts w:hint="eastAsia" w:ascii="宋体" w:hAnsi="宋体" w:eastAsia="宋体" w:cs="宋体"/>
          <w:b w:val="0"/>
          <w:bCs/>
          <w:color w:val="auto"/>
          <w:sz w:val="24"/>
          <w:szCs w:val="24"/>
          <w:highlight w:val="none"/>
        </w:rPr>
        <w:t>给</w:t>
      </w:r>
      <w:r>
        <w:rPr>
          <w:rFonts w:hint="eastAsia" w:ascii="宋体" w:hAnsi="宋体" w:eastAsia="宋体" w:cs="宋体"/>
          <w:b w:val="0"/>
          <w:bCs/>
          <w:color w:val="auto"/>
          <w:sz w:val="24"/>
          <w:szCs w:val="24"/>
          <w:highlight w:val="none"/>
          <w:lang w:val="en-US" w:eastAsia="zh-CN"/>
        </w:rPr>
        <w:t>实施</w:t>
      </w:r>
      <w:r>
        <w:rPr>
          <w:rFonts w:hint="eastAsia" w:ascii="宋体" w:hAnsi="宋体" w:eastAsia="宋体" w:cs="宋体"/>
          <w:b w:val="0"/>
          <w:bCs/>
          <w:color w:val="auto"/>
          <w:sz w:val="24"/>
          <w:szCs w:val="24"/>
          <w:highlight w:val="none"/>
        </w:rPr>
        <w:t>单位</w:t>
      </w:r>
      <w:r>
        <w:rPr>
          <w:rFonts w:hint="eastAsia" w:ascii="宋体" w:hAnsi="宋体" w:eastAsia="宋体" w:cs="宋体"/>
          <w:b w:val="0"/>
          <w:bCs/>
          <w:color w:val="auto"/>
          <w:sz w:val="24"/>
          <w:szCs w:val="24"/>
          <w:highlight w:val="none"/>
          <w:lang w:eastAsia="zh-CN"/>
        </w:rPr>
        <w:t>。</w:t>
      </w:r>
    </w:p>
    <w:p w14:paraId="0CBE289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根据评分标准，该指标不扣分，得</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分。</w:t>
      </w:r>
    </w:p>
    <w:p w14:paraId="5AA5171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51228B2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本项目实际支出资金</w:t>
      </w:r>
      <w:r>
        <w:rPr>
          <w:rFonts w:hint="eastAsia" w:ascii="宋体" w:hAnsi="宋体" w:eastAsia="宋体" w:cs="宋体"/>
          <w:b w:val="0"/>
          <w:bCs/>
          <w:color w:val="auto"/>
          <w:sz w:val="24"/>
          <w:szCs w:val="24"/>
          <w:highlight w:val="none"/>
          <w:lang w:val="en-US" w:eastAsia="zh-CN"/>
        </w:rPr>
        <w:t>756.22</w:t>
      </w:r>
      <w:r>
        <w:rPr>
          <w:rFonts w:hint="eastAsia" w:ascii="宋体" w:hAnsi="宋体" w:eastAsia="宋体" w:cs="宋体"/>
          <w:b w:val="0"/>
          <w:bCs/>
          <w:color w:val="auto"/>
          <w:sz w:val="24"/>
          <w:szCs w:val="24"/>
          <w:highlight w:val="none"/>
        </w:rPr>
        <w:t>万元，预算执行率=（实际支出资金/实际到位资金）×100.0%=8</w:t>
      </w:r>
      <w:r>
        <w:rPr>
          <w:rFonts w:hint="eastAsia" w:ascii="宋体" w:hAnsi="宋体" w:eastAsia="宋体" w:cs="宋体"/>
          <w:b w:val="0"/>
          <w:bCs/>
          <w:color w:val="auto"/>
          <w:sz w:val="24"/>
          <w:szCs w:val="24"/>
          <w:highlight w:val="none"/>
          <w:lang w:val="en-US" w:eastAsia="zh-CN"/>
        </w:rPr>
        <w:t>0.72</w:t>
      </w: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通过分析可知，该项目</w:t>
      </w:r>
      <w:r>
        <w:rPr>
          <w:rFonts w:hint="eastAsia" w:ascii="宋体" w:hAnsi="宋体" w:eastAsia="宋体" w:cs="宋体"/>
          <w:b w:val="0"/>
          <w:bCs/>
          <w:color w:val="auto"/>
          <w:sz w:val="24"/>
          <w:szCs w:val="24"/>
          <w:highlight w:val="none"/>
        </w:rPr>
        <w:t>预算编制较为详细，项目资金支出总体能够按照预算执行</w:t>
      </w:r>
      <w:r>
        <w:rPr>
          <w:rFonts w:hint="eastAsia" w:ascii="宋体" w:hAnsi="宋体" w:eastAsia="宋体" w:cs="宋体"/>
          <w:b w:val="0"/>
          <w:bCs/>
          <w:color w:val="auto"/>
          <w:sz w:val="24"/>
          <w:szCs w:val="24"/>
          <w:highlight w:val="none"/>
          <w:lang w:eastAsia="zh-CN"/>
        </w:rPr>
        <w:t>。</w:t>
      </w:r>
    </w:p>
    <w:p w14:paraId="2DAB7439">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根据评分标准，该指标扣分，得</w:t>
      </w:r>
      <w:r>
        <w:rPr>
          <w:rFonts w:hint="eastAsia" w:ascii="宋体" w:hAnsi="宋体" w:eastAsia="宋体" w:cs="宋体"/>
          <w:b w:val="0"/>
          <w:bCs/>
          <w:color w:val="auto"/>
          <w:sz w:val="24"/>
          <w:szCs w:val="24"/>
          <w:highlight w:val="none"/>
          <w:lang w:val="en-US" w:eastAsia="zh-CN"/>
        </w:rPr>
        <w:t>1.61</w:t>
      </w:r>
      <w:r>
        <w:rPr>
          <w:rFonts w:hint="eastAsia" w:ascii="宋体" w:hAnsi="宋体" w:eastAsia="宋体" w:cs="宋体"/>
          <w:b w:val="0"/>
          <w:bCs/>
          <w:color w:val="auto"/>
          <w:sz w:val="24"/>
          <w:szCs w:val="24"/>
          <w:highlight w:val="none"/>
        </w:rPr>
        <w:t>分。</w:t>
      </w:r>
    </w:p>
    <w:p w14:paraId="3B6723C9">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779573A3">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通过检查项目资金申请文件、</w:t>
      </w:r>
      <w:r>
        <w:rPr>
          <w:rFonts w:hint="eastAsia" w:ascii="宋体" w:hAnsi="宋体" w:eastAsia="宋体" w:cs="宋体"/>
          <w:b w:val="0"/>
          <w:bCs/>
          <w:color w:val="auto"/>
          <w:sz w:val="24"/>
          <w:szCs w:val="24"/>
          <w:highlight w:val="none"/>
          <w:lang w:val="en-US" w:eastAsia="zh-CN"/>
        </w:rPr>
        <w:t>国库支付凭证</w:t>
      </w:r>
      <w:r>
        <w:rPr>
          <w:rFonts w:hint="eastAsia" w:ascii="宋体" w:hAnsi="宋体" w:eastAsia="宋体" w:cs="宋体"/>
          <w:b w:val="0"/>
          <w:bCs/>
          <w:color w:val="auto"/>
          <w:sz w:val="24"/>
          <w:szCs w:val="24"/>
          <w:highlight w:val="none"/>
        </w:rPr>
        <w:t>等财务</w:t>
      </w:r>
      <w:r>
        <w:rPr>
          <w:rFonts w:hint="eastAsia" w:ascii="宋体" w:hAnsi="宋体" w:eastAsia="宋体" w:cs="宋体"/>
          <w:b w:val="0"/>
          <w:bCs/>
          <w:color w:val="auto"/>
          <w:sz w:val="24"/>
          <w:szCs w:val="24"/>
          <w:highlight w:val="none"/>
          <w:lang w:val="en-US" w:eastAsia="zh-CN"/>
        </w:rPr>
        <w:t>资料</w:t>
      </w:r>
      <w:r>
        <w:rPr>
          <w:rFonts w:hint="eastAsia" w:ascii="宋体" w:hAnsi="宋体" w:eastAsia="宋体" w:cs="宋体"/>
          <w:b w:val="0"/>
          <w:bCs/>
          <w:color w:val="auto"/>
          <w:sz w:val="24"/>
          <w:szCs w:val="24"/>
          <w:highlight w:val="none"/>
        </w:rPr>
        <w:t>，得出本项目资金支出符合国家财经法规、《政府会计制度》《</w:t>
      </w:r>
      <w:r>
        <w:rPr>
          <w:rFonts w:hint="eastAsia" w:ascii="宋体" w:hAnsi="宋体" w:eastAsia="宋体" w:cs="宋体"/>
          <w:b w:val="0"/>
          <w:bCs/>
          <w:color w:val="auto"/>
          <w:sz w:val="24"/>
          <w:szCs w:val="24"/>
          <w:highlight w:val="none"/>
          <w:lang w:eastAsia="zh-CN"/>
        </w:rPr>
        <w:t>行政</w:t>
      </w:r>
      <w:r>
        <w:rPr>
          <w:rFonts w:hint="eastAsia" w:ascii="宋体" w:hAnsi="宋体" w:eastAsia="宋体" w:cs="宋体"/>
          <w:b w:val="0"/>
          <w:bCs/>
          <w:color w:val="auto"/>
          <w:sz w:val="24"/>
          <w:szCs w:val="24"/>
          <w:highlight w:val="none"/>
        </w:rPr>
        <w:t>单位资金管理办法》《</w:t>
      </w:r>
      <w:bookmarkStart w:id="33" w:name="OLE_LINK20"/>
      <w:r>
        <w:rPr>
          <w:rFonts w:hint="eastAsia" w:ascii="宋体" w:hAnsi="宋体" w:eastAsia="宋体" w:cs="宋体"/>
          <w:b w:val="0"/>
          <w:bCs/>
          <w:color w:val="auto"/>
          <w:sz w:val="24"/>
          <w:szCs w:val="24"/>
          <w:highlight w:val="none"/>
          <w:lang w:eastAsia="zh-CN"/>
        </w:rPr>
        <w:t>行政单位</w:t>
      </w:r>
      <w:bookmarkEnd w:id="33"/>
      <w:r>
        <w:rPr>
          <w:rFonts w:hint="eastAsia" w:ascii="宋体" w:hAnsi="宋体" w:eastAsia="宋体" w:cs="宋体"/>
          <w:b w:val="0"/>
          <w:bCs/>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b w:val="0"/>
          <w:bCs/>
          <w:color w:val="auto"/>
          <w:sz w:val="24"/>
          <w:szCs w:val="24"/>
          <w:highlight w:val="none"/>
          <w:lang w:val="en-US" w:eastAsia="zh-CN"/>
        </w:rPr>
        <w:t>我单位</w:t>
      </w:r>
      <w:r>
        <w:rPr>
          <w:rFonts w:hint="eastAsia" w:ascii="宋体" w:hAnsi="宋体" w:eastAsia="宋体" w:cs="宋体"/>
          <w:b w:val="0"/>
          <w:bCs/>
          <w:color w:val="auto"/>
          <w:sz w:val="24"/>
          <w:szCs w:val="24"/>
          <w:highlight w:val="none"/>
        </w:rPr>
        <w:t>制定了相关的制度和管理规定对经费使用进行规范管理，财务制度健全、执行严格</w:t>
      </w:r>
      <w:r>
        <w:rPr>
          <w:rFonts w:hint="eastAsia" w:ascii="宋体" w:hAnsi="宋体" w:eastAsia="宋体" w:cs="宋体"/>
          <w:b w:val="0"/>
          <w:bCs/>
          <w:color w:val="auto"/>
          <w:sz w:val="24"/>
          <w:szCs w:val="24"/>
          <w:highlight w:val="none"/>
          <w:lang w:eastAsia="zh-CN"/>
        </w:rPr>
        <w:t>。</w:t>
      </w:r>
    </w:p>
    <w:p w14:paraId="77F0749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根据评分标准，该指标不扣分，得</w:t>
      </w: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rPr>
        <w:t>分。</w:t>
      </w:r>
    </w:p>
    <w:p w14:paraId="5C34A28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523CB8E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我单位已制定《</w:t>
      </w:r>
      <w:r>
        <w:rPr>
          <w:rFonts w:hint="eastAsia" w:ascii="宋体" w:hAnsi="宋体" w:eastAsia="宋体" w:cs="宋体"/>
          <w:b w:val="0"/>
          <w:bCs/>
          <w:color w:val="auto"/>
          <w:sz w:val="24"/>
          <w:szCs w:val="24"/>
          <w:highlight w:val="none"/>
          <w:lang w:eastAsia="zh-CN"/>
        </w:rPr>
        <w:t>行政单位</w:t>
      </w:r>
      <w:r>
        <w:rPr>
          <w:rFonts w:hint="eastAsia" w:ascii="宋体" w:hAnsi="宋体" w:eastAsia="宋体" w:cs="宋体"/>
          <w:b w:val="0"/>
          <w:bCs/>
          <w:color w:val="auto"/>
          <w:sz w:val="24"/>
          <w:szCs w:val="24"/>
          <w:highlight w:val="none"/>
        </w:rPr>
        <w:t>资金管理办法》《</w:t>
      </w:r>
      <w:r>
        <w:rPr>
          <w:rFonts w:hint="eastAsia" w:ascii="宋体" w:hAnsi="宋体" w:eastAsia="宋体" w:cs="宋体"/>
          <w:b w:val="0"/>
          <w:bCs/>
          <w:color w:val="auto"/>
          <w:sz w:val="24"/>
          <w:szCs w:val="24"/>
          <w:highlight w:val="none"/>
          <w:lang w:eastAsia="zh-CN"/>
        </w:rPr>
        <w:t>行政单位</w:t>
      </w:r>
      <w:r>
        <w:rPr>
          <w:rFonts w:hint="eastAsia" w:ascii="宋体" w:hAnsi="宋体" w:eastAsia="宋体" w:cs="宋体"/>
          <w:b w:val="0"/>
          <w:bCs/>
          <w:color w:val="auto"/>
          <w:sz w:val="24"/>
          <w:szCs w:val="24"/>
          <w:highlight w:val="none"/>
        </w:rPr>
        <w:t>收支业务管理制度》《</w:t>
      </w:r>
      <w:r>
        <w:rPr>
          <w:rFonts w:hint="eastAsia" w:ascii="宋体" w:hAnsi="宋体" w:eastAsia="宋体" w:cs="宋体"/>
          <w:b w:val="0"/>
          <w:bCs/>
          <w:color w:val="auto"/>
          <w:sz w:val="24"/>
          <w:szCs w:val="24"/>
          <w:highlight w:val="none"/>
          <w:lang w:eastAsia="zh-CN"/>
        </w:rPr>
        <w:t>行政单位</w:t>
      </w:r>
      <w:r>
        <w:rPr>
          <w:rFonts w:hint="eastAsia" w:ascii="宋体" w:hAnsi="宋体" w:eastAsia="宋体" w:cs="宋体"/>
          <w:b w:val="0"/>
          <w:bCs/>
          <w:color w:val="auto"/>
          <w:sz w:val="24"/>
          <w:szCs w:val="24"/>
          <w:highlight w:val="none"/>
        </w:rPr>
        <w:t>政府采购业务管理制度》《</w:t>
      </w:r>
      <w:r>
        <w:rPr>
          <w:rFonts w:hint="eastAsia" w:ascii="宋体" w:hAnsi="宋体" w:eastAsia="宋体" w:cs="宋体"/>
          <w:b w:val="0"/>
          <w:bCs/>
          <w:color w:val="auto"/>
          <w:sz w:val="24"/>
          <w:szCs w:val="24"/>
          <w:highlight w:val="none"/>
          <w:lang w:eastAsia="zh-CN"/>
        </w:rPr>
        <w:t>行政单位</w:t>
      </w:r>
      <w:r>
        <w:rPr>
          <w:rFonts w:hint="eastAsia" w:ascii="宋体" w:hAnsi="宋体" w:eastAsia="宋体" w:cs="宋体"/>
          <w:b w:val="0"/>
          <w:bCs/>
          <w:color w:val="auto"/>
          <w:sz w:val="24"/>
          <w:szCs w:val="24"/>
          <w:highlight w:val="none"/>
        </w:rPr>
        <w:t>合同管理制度》，</w:t>
      </w:r>
      <w:r>
        <w:rPr>
          <w:rFonts w:hint="eastAsia" w:ascii="宋体" w:hAnsi="宋体" w:eastAsia="宋体" w:cs="宋体"/>
          <w:b w:val="0"/>
          <w:bCs/>
          <w:color w:val="auto"/>
          <w:sz w:val="24"/>
          <w:szCs w:val="24"/>
          <w:highlight w:val="none"/>
          <w:lang w:val="en-US" w:eastAsia="zh-CN"/>
        </w:rPr>
        <w:t>相关</w:t>
      </w:r>
      <w:r>
        <w:rPr>
          <w:rFonts w:hint="eastAsia" w:ascii="宋体" w:hAnsi="宋体" w:eastAsia="宋体" w:cs="宋体"/>
          <w:b w:val="0"/>
          <w:bCs/>
          <w:color w:val="auto"/>
          <w:sz w:val="24"/>
          <w:szCs w:val="24"/>
          <w:highlight w:val="none"/>
        </w:rPr>
        <w:t>制度均符合行政事业单位内控管理要求，财务和业务管理制度合法、合规、完整，本项目执行符合上述制度规定。</w:t>
      </w:r>
    </w:p>
    <w:p w14:paraId="66E036E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根据评分标准，该指标不扣分，得</w:t>
      </w: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rPr>
        <w:t>分。</w:t>
      </w:r>
    </w:p>
    <w:p w14:paraId="145BB6E9">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34CE8A1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①该项目的实施符合《</w:t>
      </w:r>
      <w:r>
        <w:rPr>
          <w:rFonts w:hint="eastAsia" w:ascii="宋体" w:hAnsi="宋体" w:eastAsia="宋体" w:cs="宋体"/>
          <w:b w:val="0"/>
          <w:bCs/>
          <w:color w:val="auto"/>
          <w:sz w:val="24"/>
          <w:szCs w:val="24"/>
          <w:highlight w:val="none"/>
          <w:lang w:eastAsia="zh-CN"/>
        </w:rPr>
        <w:t>行政单位</w:t>
      </w:r>
      <w:r>
        <w:rPr>
          <w:rFonts w:hint="eastAsia" w:ascii="宋体" w:hAnsi="宋体" w:eastAsia="宋体" w:cs="宋体"/>
          <w:b w:val="0"/>
          <w:bCs/>
          <w:color w:val="auto"/>
          <w:sz w:val="24"/>
          <w:szCs w:val="24"/>
          <w:highlight w:val="none"/>
        </w:rPr>
        <w:t>办法》《</w:t>
      </w:r>
      <w:r>
        <w:rPr>
          <w:rFonts w:hint="eastAsia" w:ascii="宋体" w:hAnsi="宋体" w:eastAsia="宋体" w:cs="宋体"/>
          <w:b w:val="0"/>
          <w:bCs/>
          <w:color w:val="auto"/>
          <w:sz w:val="24"/>
          <w:szCs w:val="24"/>
          <w:highlight w:val="none"/>
          <w:lang w:eastAsia="zh-CN"/>
        </w:rPr>
        <w:t>行政单位</w:t>
      </w:r>
      <w:r>
        <w:rPr>
          <w:rFonts w:hint="eastAsia" w:ascii="宋体" w:hAnsi="宋体" w:eastAsia="宋体" w:cs="宋体"/>
          <w:b w:val="0"/>
          <w:bCs/>
          <w:color w:val="auto"/>
          <w:sz w:val="24"/>
          <w:szCs w:val="24"/>
          <w:highlight w:val="none"/>
        </w:rPr>
        <w:t>管理制度》《</w:t>
      </w:r>
      <w:r>
        <w:rPr>
          <w:rFonts w:hint="eastAsia" w:ascii="宋体" w:hAnsi="宋体" w:eastAsia="宋体" w:cs="宋体"/>
          <w:b w:val="0"/>
          <w:bCs/>
          <w:color w:val="auto"/>
          <w:sz w:val="24"/>
          <w:szCs w:val="24"/>
          <w:highlight w:val="none"/>
          <w:lang w:eastAsia="zh-CN"/>
        </w:rPr>
        <w:t>行政单位</w:t>
      </w:r>
      <w:r>
        <w:rPr>
          <w:rFonts w:hint="eastAsia" w:ascii="宋体" w:hAnsi="宋体" w:eastAsia="宋体" w:cs="宋体"/>
          <w:b w:val="0"/>
          <w:bCs/>
          <w:color w:val="auto"/>
          <w:sz w:val="24"/>
          <w:szCs w:val="24"/>
          <w:highlight w:val="none"/>
        </w:rPr>
        <w:t>采购业务管理制度》《</w:t>
      </w:r>
      <w:r>
        <w:rPr>
          <w:rFonts w:hint="eastAsia" w:ascii="宋体" w:hAnsi="宋体" w:eastAsia="宋体" w:cs="宋体"/>
          <w:b w:val="0"/>
          <w:bCs/>
          <w:color w:val="auto"/>
          <w:sz w:val="24"/>
          <w:szCs w:val="24"/>
          <w:highlight w:val="none"/>
          <w:lang w:eastAsia="zh-CN"/>
        </w:rPr>
        <w:t>行政单位</w:t>
      </w:r>
      <w:r>
        <w:rPr>
          <w:rFonts w:hint="eastAsia" w:ascii="宋体" w:hAnsi="宋体" w:eastAsia="宋体" w:cs="宋体"/>
          <w:b w:val="0"/>
          <w:bCs/>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2768C3D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②经现场查证项目合同书、验收评审表、财务支付凭证等资料齐全并及时归档。</w:t>
      </w:r>
    </w:p>
    <w:p w14:paraId="0256EB0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③该项目是否存在调整，调整手续是否齐全，如未调整，则填“该项目实施过程中不存在调整事项”。</w:t>
      </w:r>
    </w:p>
    <w:p w14:paraId="439D5FB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土地增减挂专项资金-和地财综{2024]9号-2024年土地指标跨省域调剂收入安排的支出预算项目工作领导小组，由</w:t>
      </w:r>
      <w:r>
        <w:rPr>
          <w:rFonts w:hint="eastAsia" w:ascii="宋体" w:hAnsi="宋体" w:eastAsia="宋体" w:cs="宋体"/>
          <w:b w:val="0"/>
          <w:bCs/>
          <w:color w:val="auto"/>
          <w:sz w:val="24"/>
          <w:szCs w:val="24"/>
          <w:highlight w:val="none"/>
          <w:lang w:eastAsia="zh-CN"/>
        </w:rPr>
        <w:t>史晓光</w:t>
      </w:r>
      <w:r>
        <w:rPr>
          <w:rFonts w:hint="eastAsia" w:ascii="宋体" w:hAnsi="宋体" w:eastAsia="宋体" w:cs="宋体"/>
          <w:b w:val="0"/>
          <w:bCs/>
          <w:color w:val="auto"/>
          <w:sz w:val="24"/>
          <w:szCs w:val="24"/>
          <w:highlight w:val="none"/>
        </w:rPr>
        <w:t>任组长，负责项目的组织工作；组员包括：</w:t>
      </w:r>
      <w:r>
        <w:rPr>
          <w:rFonts w:hint="eastAsia" w:ascii="宋体" w:hAnsi="宋体" w:eastAsia="宋体" w:cs="宋体"/>
          <w:b w:val="0"/>
          <w:bCs/>
          <w:color w:val="auto"/>
          <w:sz w:val="24"/>
          <w:szCs w:val="24"/>
          <w:highlight w:val="none"/>
          <w:lang w:val="en-US" w:eastAsia="zh-CN"/>
        </w:rPr>
        <w:t>夏热帕提·木提力</w:t>
      </w:r>
      <w:r>
        <w:rPr>
          <w:rFonts w:hint="eastAsia" w:ascii="宋体" w:hAnsi="宋体" w:eastAsia="宋体" w:cs="宋体"/>
          <w:b w:val="0"/>
          <w:bCs/>
          <w:color w:val="auto"/>
          <w:sz w:val="24"/>
          <w:szCs w:val="24"/>
          <w:highlight w:val="none"/>
        </w:rPr>
        <w:t>和</w:t>
      </w:r>
      <w:r>
        <w:rPr>
          <w:rFonts w:hint="eastAsia" w:ascii="宋体" w:hAnsi="宋体" w:eastAsia="宋体" w:cs="宋体"/>
          <w:b w:val="0"/>
          <w:bCs/>
          <w:color w:val="auto"/>
          <w:sz w:val="24"/>
          <w:szCs w:val="24"/>
          <w:highlight w:val="none"/>
          <w:lang w:eastAsia="zh-CN"/>
        </w:rPr>
        <w:t>祖力皮喀尔</w:t>
      </w:r>
      <w:r>
        <w:rPr>
          <w:rFonts w:hint="eastAsia" w:ascii="宋体" w:hAnsi="宋体" w:eastAsia="宋体" w:cs="宋体"/>
          <w:b w:val="0"/>
          <w:bCs/>
          <w:color w:val="auto"/>
          <w:sz w:val="24"/>
          <w:szCs w:val="24"/>
          <w:highlight w:val="none"/>
        </w:rPr>
        <w:t>，主要负责项目监督管理、验收以及资金核拨等工作。</w:t>
      </w:r>
    </w:p>
    <w:p w14:paraId="483B09B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根据评分标准，该指标不扣分，得</w:t>
      </w: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rPr>
        <w:t>分。</w:t>
      </w:r>
    </w:p>
    <w:p w14:paraId="15DCAB40">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（三）项目产出情况</w:t>
      </w:r>
    </w:p>
    <w:p w14:paraId="6040EFB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项目产出类指标包括产出数量、产出质量、产出时效、产出成本四方面的内容，由</w:t>
      </w:r>
      <w:r>
        <w:rPr>
          <w:rFonts w:hint="eastAsia" w:ascii="宋体" w:hAnsi="宋体" w:eastAsia="宋体" w:cs="宋体"/>
          <w:b w:val="0"/>
          <w:bCs/>
          <w:color w:val="auto"/>
          <w:sz w:val="24"/>
          <w:szCs w:val="24"/>
          <w:highlight w:val="none"/>
          <w:lang w:val="en-US" w:eastAsia="zh-CN"/>
        </w:rPr>
        <w:t>8</w:t>
      </w:r>
      <w:r>
        <w:rPr>
          <w:rFonts w:hint="eastAsia" w:ascii="宋体" w:hAnsi="宋体" w:eastAsia="宋体" w:cs="宋体"/>
          <w:b w:val="0"/>
          <w:bCs/>
          <w:color w:val="auto"/>
          <w:sz w:val="24"/>
          <w:szCs w:val="24"/>
          <w:highlight w:val="none"/>
        </w:rPr>
        <w:t>个三级指标构成，权重分为</w:t>
      </w:r>
      <w:r>
        <w:rPr>
          <w:rFonts w:hint="eastAsia" w:ascii="宋体" w:hAnsi="宋体" w:eastAsia="宋体" w:cs="宋体"/>
          <w:b w:val="0"/>
          <w:bCs/>
          <w:color w:val="auto"/>
          <w:sz w:val="24"/>
          <w:szCs w:val="24"/>
          <w:highlight w:val="none"/>
          <w:lang w:val="en-US" w:eastAsia="zh-CN"/>
        </w:rPr>
        <w:t>40</w:t>
      </w:r>
      <w:r>
        <w:rPr>
          <w:rFonts w:hint="eastAsia" w:ascii="宋体" w:hAnsi="宋体" w:eastAsia="宋体" w:cs="宋体"/>
          <w:b w:val="0"/>
          <w:bCs/>
          <w:color w:val="auto"/>
          <w:sz w:val="24"/>
          <w:szCs w:val="24"/>
          <w:highlight w:val="none"/>
        </w:rPr>
        <w:t>分，实际得分</w:t>
      </w:r>
      <w:r>
        <w:rPr>
          <w:rFonts w:hint="eastAsia" w:ascii="宋体" w:hAnsi="宋体" w:eastAsia="宋体" w:cs="宋体"/>
          <w:b w:val="0"/>
          <w:bCs/>
          <w:color w:val="auto"/>
          <w:sz w:val="24"/>
          <w:szCs w:val="24"/>
          <w:highlight w:val="none"/>
          <w:lang w:val="en-US" w:eastAsia="zh-CN"/>
        </w:rPr>
        <w:t>38.07</w:t>
      </w:r>
      <w:r>
        <w:rPr>
          <w:rFonts w:hint="eastAsia" w:ascii="宋体" w:hAnsi="宋体" w:eastAsia="宋体" w:cs="宋体"/>
          <w:b w:val="0"/>
          <w:bCs/>
          <w:color w:val="auto"/>
          <w:sz w:val="24"/>
          <w:szCs w:val="24"/>
          <w:highlight w:val="none"/>
        </w:rPr>
        <w:t>分，得分率为</w:t>
      </w:r>
      <w:r>
        <w:rPr>
          <w:rFonts w:hint="eastAsia" w:ascii="宋体" w:hAnsi="宋体" w:eastAsia="宋体" w:cs="宋体"/>
          <w:b w:val="0"/>
          <w:bCs/>
          <w:color w:val="auto"/>
          <w:sz w:val="24"/>
          <w:szCs w:val="24"/>
          <w:highlight w:val="none"/>
          <w:lang w:val="en-US" w:eastAsia="zh-CN"/>
        </w:rPr>
        <w:t>95.18</w:t>
      </w:r>
      <w:r>
        <w:rPr>
          <w:rFonts w:hint="eastAsia" w:ascii="宋体" w:hAnsi="宋体" w:eastAsia="宋体" w:cs="宋体"/>
          <w:b w:val="0"/>
          <w:bCs/>
          <w:color w:val="auto"/>
          <w:sz w:val="24"/>
          <w:szCs w:val="24"/>
          <w:highlight w:val="none"/>
        </w:rPr>
        <w:t>%。</w:t>
      </w:r>
    </w:p>
    <w:p w14:paraId="716F469D">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4A3F20E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涉及土地复垦项目地点数量，预期指标值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5个，实际完成值5个，指标完成率为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1D38D27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38063E6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1643F50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资金使用合规率，预期指标值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0D8C97A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项目验收合格率，预期指标值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62FC695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378E27E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1E94B99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项目完成时间，预期指标值2024年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月，实际完成值2024年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月，指标完成率</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26FB959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资金支付及时率，预期指标值</w:t>
      </w:r>
      <w:r>
        <w:rPr>
          <w:rFonts w:hint="eastAsia" w:ascii="宋体" w:hAnsi="宋体" w:eastAsia="宋体" w:cs="宋体"/>
          <w:b w:val="0"/>
          <w:color w:val="000000"/>
          <w:sz w:val="24"/>
          <w:szCs w:val="24"/>
          <w:highlight w:val="none"/>
          <w:lang w:val="en-US" w:eastAsia="zh-CN"/>
        </w:rPr>
        <w:t>等于</w:t>
      </w:r>
      <w:r>
        <w:rPr>
          <w:rFonts w:hint="eastAsia" w:ascii="宋体" w:hAnsi="宋体" w:eastAsia="宋体" w:cs="宋体"/>
          <w:b w:val="0"/>
          <w:color w:val="000000"/>
          <w:sz w:val="24"/>
          <w:szCs w:val="24"/>
          <w:highlight w:val="none"/>
        </w:rPr>
        <w:t>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，实际完成值100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，指标完成率100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2844186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合计得10分。</w:t>
      </w:r>
    </w:p>
    <w:p w14:paraId="7226F5F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37A328B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土地增减挂钩项目资金，预期指标值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936.81万元，实际完成值为756.22万元，指标完成率</w:t>
      </w:r>
      <w:r>
        <w:rPr>
          <w:rFonts w:hint="eastAsia" w:ascii="宋体" w:hAnsi="宋体" w:eastAsia="宋体" w:cs="宋体"/>
          <w:color w:val="000000"/>
          <w:sz w:val="24"/>
          <w:szCs w:val="24"/>
          <w:highlight w:val="none"/>
          <w:lang w:val="en-US" w:eastAsia="zh-CN"/>
        </w:rPr>
        <w:t>80.72%，</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8.07</w:t>
      </w:r>
      <w:r>
        <w:rPr>
          <w:rFonts w:hint="eastAsia" w:ascii="宋体" w:hAnsi="宋体" w:eastAsia="宋体" w:cs="宋体"/>
          <w:color w:val="000000"/>
          <w:sz w:val="24"/>
          <w:szCs w:val="24"/>
          <w:highlight w:val="none"/>
        </w:rPr>
        <w:t>分。</w:t>
      </w:r>
    </w:p>
    <w:p w14:paraId="44A6F18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8.07</w:t>
      </w:r>
      <w:r>
        <w:rPr>
          <w:rFonts w:hint="eastAsia" w:ascii="宋体" w:hAnsi="宋体" w:eastAsia="宋体" w:cs="宋体"/>
          <w:b w:val="0"/>
          <w:bCs/>
          <w:color w:val="000000"/>
          <w:sz w:val="24"/>
          <w:szCs w:val="24"/>
          <w:highlight w:val="none"/>
        </w:rPr>
        <w:t>分。</w:t>
      </w:r>
    </w:p>
    <w:p w14:paraId="05AEB81A">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（四）项目效益情况</w:t>
      </w:r>
    </w:p>
    <w:p w14:paraId="2D135E9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项目效益类指标包括项目效益1个方面的内容，由2个三级指标构成，权重分为2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分，实际得分2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分，得分率为100%。</w:t>
      </w:r>
    </w:p>
    <w:p w14:paraId="5A96C1BC">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1292A3A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bCs w:val="0"/>
          <w:color w:val="000000"/>
          <w:sz w:val="24"/>
          <w:szCs w:val="24"/>
          <w:highlight w:val="none"/>
        </w:rPr>
        <w:t>加快推进新农村建设，预期指标值为</w:t>
      </w:r>
      <w:r>
        <w:rPr>
          <w:rFonts w:hint="eastAsia" w:ascii="宋体" w:hAnsi="宋体" w:eastAsia="宋体" w:cs="宋体"/>
          <w:b w:val="0"/>
          <w:bCs w:val="0"/>
          <w:color w:val="000000"/>
          <w:sz w:val="24"/>
          <w:szCs w:val="24"/>
          <w:highlight w:val="none"/>
          <w:lang w:val="en-US" w:eastAsia="zh-CN"/>
        </w:rPr>
        <w:t>效果显著</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效果显著</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rPr>
        <w:t>分。</w:t>
      </w:r>
    </w:p>
    <w:p w14:paraId="602F725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0BEB7A8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4042E96F">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438FFEFD">
      <w:pPr>
        <w:pStyle w:val="10"/>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bookmarkEnd w:id="29"/>
    </w:p>
    <w:p w14:paraId="4871F0C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28DB5342">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受益群众满意度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95%</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67B2B82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067CE956">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五、预算执行进度与绩效指标偏差情况</w:t>
      </w:r>
    </w:p>
    <w:p w14:paraId="4A145675">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本项目年初预算资金总额为</w:t>
      </w:r>
      <w:r>
        <w:rPr>
          <w:rFonts w:hint="eastAsia" w:ascii="宋体" w:hAnsi="宋体" w:eastAsia="宋体" w:cs="宋体"/>
          <w:b w:val="0"/>
          <w:bCs/>
          <w:color w:val="auto"/>
          <w:sz w:val="24"/>
          <w:szCs w:val="24"/>
          <w:lang w:val="en-US" w:eastAsia="zh-CN"/>
        </w:rPr>
        <w:t>936.81</w:t>
      </w:r>
      <w:r>
        <w:rPr>
          <w:rFonts w:hint="eastAsia" w:ascii="宋体" w:hAnsi="宋体" w:eastAsia="宋体" w:cs="宋体"/>
          <w:b w:val="0"/>
          <w:bCs/>
          <w:color w:val="auto"/>
          <w:sz w:val="24"/>
          <w:szCs w:val="24"/>
        </w:rPr>
        <w:t>万元，全年预算数为</w:t>
      </w:r>
      <w:r>
        <w:rPr>
          <w:rFonts w:hint="eastAsia" w:ascii="宋体" w:hAnsi="宋体" w:eastAsia="宋体" w:cs="宋体"/>
          <w:b w:val="0"/>
          <w:bCs/>
          <w:color w:val="auto"/>
          <w:sz w:val="24"/>
          <w:szCs w:val="24"/>
          <w:lang w:val="en-US" w:eastAsia="zh-CN"/>
        </w:rPr>
        <w:t>936.81</w:t>
      </w:r>
      <w:r>
        <w:rPr>
          <w:rFonts w:hint="eastAsia" w:ascii="宋体" w:hAnsi="宋体" w:eastAsia="宋体" w:cs="宋体"/>
          <w:b w:val="0"/>
          <w:bCs/>
          <w:color w:val="auto"/>
          <w:sz w:val="24"/>
          <w:szCs w:val="24"/>
        </w:rPr>
        <w:t>万元，全年执行数为</w:t>
      </w:r>
      <w:r>
        <w:rPr>
          <w:rFonts w:hint="eastAsia" w:ascii="宋体" w:hAnsi="宋体" w:eastAsia="宋体" w:cs="宋体"/>
          <w:b w:val="0"/>
          <w:bCs/>
          <w:color w:val="auto"/>
          <w:sz w:val="24"/>
          <w:szCs w:val="24"/>
          <w:lang w:val="en-US" w:eastAsia="zh-CN"/>
        </w:rPr>
        <w:t>756.22</w:t>
      </w:r>
      <w:r>
        <w:rPr>
          <w:rFonts w:hint="eastAsia" w:ascii="宋体" w:hAnsi="宋体" w:eastAsia="宋体" w:cs="宋体"/>
          <w:b w:val="0"/>
          <w:bCs/>
          <w:color w:val="auto"/>
          <w:sz w:val="24"/>
          <w:szCs w:val="24"/>
        </w:rPr>
        <w:t>万元，预算执行率为</w:t>
      </w:r>
      <w:r>
        <w:rPr>
          <w:rFonts w:hint="eastAsia" w:ascii="宋体" w:hAnsi="宋体" w:eastAsia="宋体" w:cs="宋体"/>
          <w:b w:val="0"/>
          <w:bCs/>
          <w:color w:val="auto"/>
          <w:sz w:val="24"/>
          <w:szCs w:val="24"/>
          <w:lang w:val="en-US" w:eastAsia="zh-CN"/>
        </w:rPr>
        <w:t>80.72</w:t>
      </w:r>
      <w:r>
        <w:rPr>
          <w:rFonts w:hint="eastAsia" w:ascii="宋体" w:hAnsi="宋体" w:eastAsia="宋体" w:cs="宋体"/>
          <w:b w:val="0"/>
          <w:bCs/>
          <w:color w:val="auto"/>
          <w:sz w:val="24"/>
          <w:szCs w:val="24"/>
        </w:rPr>
        <w:t>%。</w:t>
      </w:r>
    </w:p>
    <w:p w14:paraId="6A527DB2">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本项目共设置三级指标数量</w:t>
      </w:r>
      <w:r>
        <w:rPr>
          <w:rFonts w:hint="eastAsia" w:ascii="宋体" w:hAnsi="宋体" w:eastAsia="宋体" w:cs="宋体"/>
          <w:b w:val="0"/>
          <w:bCs/>
          <w:color w:val="auto"/>
          <w:sz w:val="24"/>
          <w:szCs w:val="24"/>
          <w:lang w:val="en-US" w:eastAsia="zh-CN"/>
        </w:rPr>
        <w:t>8</w:t>
      </w:r>
      <w:r>
        <w:rPr>
          <w:rFonts w:hint="eastAsia" w:ascii="宋体" w:hAnsi="宋体" w:eastAsia="宋体" w:cs="宋体"/>
          <w:b w:val="0"/>
          <w:bCs/>
          <w:color w:val="auto"/>
          <w:sz w:val="24"/>
          <w:szCs w:val="24"/>
        </w:rPr>
        <w:t>个，满分指标数量</w:t>
      </w:r>
      <w:r>
        <w:rPr>
          <w:rFonts w:hint="eastAsia" w:ascii="宋体" w:hAnsi="宋体" w:eastAsia="宋体" w:cs="宋体"/>
          <w:b w:val="0"/>
          <w:bCs/>
          <w:color w:val="auto"/>
          <w:sz w:val="24"/>
          <w:szCs w:val="24"/>
          <w:lang w:val="en-US" w:eastAsia="zh-CN"/>
        </w:rPr>
        <w:t>7</w:t>
      </w:r>
      <w:r>
        <w:rPr>
          <w:rFonts w:hint="eastAsia" w:ascii="宋体" w:hAnsi="宋体" w:eastAsia="宋体" w:cs="宋体"/>
          <w:b w:val="0"/>
          <w:bCs/>
          <w:color w:val="auto"/>
          <w:sz w:val="24"/>
          <w:szCs w:val="24"/>
        </w:rPr>
        <w:t>个，扣分指标数量</w:t>
      </w:r>
      <w:r>
        <w:rPr>
          <w:rFonts w:hint="eastAsia" w:ascii="宋体" w:hAnsi="宋体" w:eastAsia="宋体" w:cs="宋体"/>
          <w:b w:val="0"/>
          <w:bCs/>
          <w:color w:val="auto"/>
          <w:sz w:val="24"/>
          <w:szCs w:val="24"/>
          <w:lang w:val="en-US" w:eastAsia="zh-CN"/>
        </w:rPr>
        <w:t>1</w:t>
      </w:r>
      <w:r>
        <w:rPr>
          <w:rFonts w:hint="eastAsia" w:ascii="宋体" w:hAnsi="宋体" w:eastAsia="宋体" w:cs="宋体"/>
          <w:b w:val="0"/>
          <w:bCs/>
          <w:color w:val="auto"/>
          <w:sz w:val="24"/>
          <w:szCs w:val="24"/>
        </w:rPr>
        <w:t>个，经分析计算所有三级指标完成率得出，本项目总体完成率为</w:t>
      </w:r>
      <w:r>
        <w:rPr>
          <w:rFonts w:hint="eastAsia" w:ascii="宋体" w:hAnsi="宋体" w:eastAsia="宋体" w:cs="宋体"/>
          <w:b w:val="0"/>
          <w:bCs/>
          <w:color w:val="auto"/>
          <w:sz w:val="24"/>
          <w:szCs w:val="24"/>
          <w:lang w:val="en-US" w:eastAsia="zh-CN"/>
        </w:rPr>
        <w:t>87.5</w:t>
      </w:r>
      <w:r>
        <w:rPr>
          <w:rFonts w:hint="eastAsia" w:ascii="宋体" w:hAnsi="宋体" w:eastAsia="宋体" w:cs="宋体"/>
          <w:b w:val="0"/>
          <w:bCs/>
          <w:color w:val="auto"/>
          <w:sz w:val="24"/>
          <w:szCs w:val="24"/>
        </w:rPr>
        <w:t>%。</w:t>
      </w:r>
    </w:p>
    <w:p w14:paraId="72EBEDB1">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综上所述本项目预算执行率与总体完成率之间的偏差为</w:t>
      </w:r>
      <w:r>
        <w:rPr>
          <w:rFonts w:hint="eastAsia" w:ascii="宋体" w:hAnsi="宋体" w:eastAsia="宋体" w:cs="宋体"/>
          <w:b w:val="0"/>
          <w:bCs/>
          <w:color w:val="auto"/>
          <w:sz w:val="24"/>
          <w:szCs w:val="24"/>
          <w:lang w:val="en-US" w:eastAsia="zh-CN"/>
        </w:rPr>
        <w:t>6.78</w:t>
      </w:r>
      <w:r>
        <w:rPr>
          <w:rFonts w:hint="eastAsia" w:ascii="宋体" w:hAnsi="宋体" w:eastAsia="宋体" w:cs="宋体"/>
          <w:b w:val="0"/>
          <w:bCs/>
          <w:color w:val="auto"/>
          <w:sz w:val="24"/>
          <w:szCs w:val="24"/>
        </w:rPr>
        <w:t>%。</w:t>
      </w:r>
    </w:p>
    <w:p w14:paraId="19CF0ADC">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六、主要经验及做法、存在的问题及原因分析</w:t>
      </w:r>
    </w:p>
    <w:p w14:paraId="1259E63A">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（一）主要经验及做法</w:t>
      </w:r>
    </w:p>
    <w:p w14:paraId="566D58A8">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一是项目实施后，将有效改善土地，改善土壤，为建立和完善可持续发展的生态环境奠定基础。</w:t>
      </w:r>
    </w:p>
    <w:p w14:paraId="46350A67">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二是加强组织领导，本项目绩效评价工作，有主要领导亲自挂帅，分管领导具体负责，从项目到资金，均能够很好的执行。</w:t>
      </w:r>
    </w:p>
    <w:p w14:paraId="2CAF71D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rPr>
      </w:pPr>
      <w:bookmarkStart w:id="34" w:name="OLE_LINK31"/>
      <w:r>
        <w:rPr>
          <w:rFonts w:hint="eastAsia" w:ascii="宋体" w:hAnsi="宋体" w:eastAsia="宋体" w:cs="宋体"/>
          <w:b w:val="0"/>
          <w:bCs/>
          <w:color w:val="auto"/>
          <w:sz w:val="24"/>
          <w:szCs w:val="24"/>
        </w:rPr>
        <w:t>三是</w:t>
      </w:r>
      <w:bookmarkEnd w:id="34"/>
      <w:r>
        <w:rPr>
          <w:rFonts w:hint="eastAsia" w:ascii="宋体" w:hAnsi="宋体" w:eastAsia="宋体" w:cs="宋体"/>
          <w:b w:val="0"/>
          <w:bCs/>
          <w:color w:val="auto"/>
          <w:sz w:val="24"/>
          <w:szCs w:val="24"/>
        </w:rPr>
        <w:t>加强沟通协调，我单位及时向领导汇报项目建设进度，加强与施工单位的沟通，确保项目按期完工。</w:t>
      </w:r>
    </w:p>
    <w:p w14:paraId="2A2F550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eastAsia="zh-CN"/>
        </w:rPr>
        <w:t>四</w:t>
      </w:r>
      <w:r>
        <w:rPr>
          <w:rFonts w:hint="eastAsia" w:ascii="宋体" w:hAnsi="宋体" w:eastAsia="宋体" w:cs="宋体"/>
          <w:b w:val="0"/>
          <w:bCs/>
          <w:color w:val="auto"/>
          <w:sz w:val="24"/>
          <w:szCs w:val="24"/>
        </w:rPr>
        <w:t>是</w:t>
      </w:r>
      <w:r>
        <w:rPr>
          <w:rFonts w:hint="eastAsia" w:ascii="宋体" w:hAnsi="宋体" w:eastAsia="宋体" w:cs="宋体"/>
          <w:b w:val="0"/>
          <w:bCs/>
          <w:color w:val="auto"/>
          <w:sz w:val="24"/>
          <w:szCs w:val="24"/>
          <w:lang w:eastAsia="zh-CN"/>
        </w:rPr>
        <w:t>农民补偿费到账迅速，正确，农民十分满意。</w:t>
      </w:r>
    </w:p>
    <w:p w14:paraId="3F1DA71F">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bookmarkStart w:id="35" w:name="_Toc68364674"/>
      <w:r>
        <w:rPr>
          <w:rFonts w:hint="eastAsia" w:ascii="宋体" w:hAnsi="宋体" w:eastAsia="宋体" w:cs="宋体"/>
          <w:b/>
          <w:bCs/>
          <w:color w:val="000000"/>
          <w:sz w:val="24"/>
          <w:szCs w:val="24"/>
          <w:highlight w:val="none"/>
        </w:rPr>
        <w:t>（二）存在问题及原因分析</w:t>
      </w:r>
      <w:bookmarkEnd w:id="35"/>
    </w:p>
    <w:p w14:paraId="3156681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w:t>
      </w:r>
      <w:r>
        <w:rPr>
          <w:rFonts w:hint="eastAsia" w:ascii="宋体" w:hAnsi="宋体" w:eastAsia="宋体" w:cs="宋体"/>
          <w:b w:val="0"/>
          <w:bCs/>
          <w:color w:val="auto"/>
          <w:sz w:val="24"/>
          <w:szCs w:val="24"/>
        </w:rPr>
        <w:t>预算执行率偏低，资金支付进度滞后</w:t>
      </w:r>
    </w:p>
    <w:p w14:paraId="5CFCB5F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项目全年预算执行率为</w:t>
      </w:r>
      <w:r>
        <w:rPr>
          <w:rFonts w:hint="eastAsia" w:ascii="宋体" w:hAnsi="宋体" w:eastAsia="宋体" w:cs="宋体"/>
          <w:b w:val="0"/>
          <w:bCs/>
          <w:color w:val="auto"/>
          <w:sz w:val="24"/>
          <w:szCs w:val="24"/>
          <w:lang w:val="en-US" w:eastAsia="zh-CN"/>
        </w:rPr>
        <w:t>80.72</w:t>
      </w:r>
      <w:r>
        <w:rPr>
          <w:rFonts w:hint="eastAsia" w:ascii="宋体" w:hAnsi="宋体" w:eastAsia="宋体" w:cs="宋体"/>
          <w:b w:val="0"/>
          <w:bCs/>
          <w:color w:val="auto"/>
          <w:sz w:val="24"/>
          <w:szCs w:val="24"/>
        </w:rPr>
        <w:t>%，未达到100%的预期目标，剩余资金1</w:t>
      </w:r>
      <w:r>
        <w:rPr>
          <w:rFonts w:hint="eastAsia" w:ascii="宋体" w:hAnsi="宋体" w:eastAsia="宋体" w:cs="宋体"/>
          <w:b w:val="0"/>
          <w:bCs/>
          <w:color w:val="auto"/>
          <w:sz w:val="24"/>
          <w:szCs w:val="24"/>
          <w:lang w:val="en-US" w:eastAsia="zh-CN"/>
        </w:rPr>
        <w:t>80.59</w:t>
      </w:r>
      <w:r>
        <w:rPr>
          <w:rFonts w:hint="eastAsia" w:ascii="宋体" w:hAnsi="宋体" w:eastAsia="宋体" w:cs="宋体"/>
          <w:b w:val="0"/>
          <w:bCs/>
          <w:color w:val="auto"/>
          <w:sz w:val="24"/>
          <w:szCs w:val="24"/>
        </w:rPr>
        <w:t>万元未支付。</w:t>
      </w:r>
    </w:p>
    <w:p w14:paraId="6D12D6FC">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原因分析：施工单位材料提交延迟</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部分施工单位未及时提供工程验收、审计报告等材料，导致资金支付流程受阻。跨部门审批流程较长：资金拨付涉及财政、自然资源、审计等多个部门，审批环节较多，影响支付效率。</w:t>
      </w:r>
    </w:p>
    <w:p w14:paraId="0C08D9E9">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lang w:val="en-US" w:eastAsia="zh-CN"/>
        </w:rPr>
        <w:t>2.</w:t>
      </w:r>
      <w:r>
        <w:rPr>
          <w:rFonts w:hint="eastAsia" w:ascii="宋体" w:hAnsi="宋体" w:eastAsia="宋体" w:cs="宋体"/>
          <w:b w:val="0"/>
          <w:bCs/>
          <w:color w:val="auto"/>
          <w:sz w:val="24"/>
          <w:szCs w:val="24"/>
        </w:rPr>
        <w:t>受益群众满意度未完全达标，宣传沟通不足</w:t>
      </w:r>
    </w:p>
    <w:p w14:paraId="431E1AA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rPr>
        <w:t>原因分析：政策宣传不到位：部分村民对增减挂钩政策理解不深，对补偿标准、土地复垦后的用途存在疑问。</w:t>
      </w:r>
    </w:p>
    <w:p w14:paraId="74E3A743">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color w:val="000000"/>
          <w:sz w:val="24"/>
          <w:szCs w:val="24"/>
          <w:highlight w:val="none"/>
        </w:rPr>
        <w:t>七、有关建议</w:t>
      </w:r>
    </w:p>
    <w:p w14:paraId="6509324D">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kern w:val="0"/>
          <w:sz w:val="24"/>
          <w:szCs w:val="24"/>
          <w:highlight w:val="none"/>
          <w:lang w:val="en-US" w:eastAsia="zh-CN" w:bidi="ar-SA"/>
        </w:rPr>
        <w:t>1.项目建设的程序进一步规范。项目前期</w:t>
      </w:r>
      <w:r>
        <w:rPr>
          <w:rFonts w:hint="eastAsia" w:ascii="宋体" w:hAnsi="宋体" w:eastAsia="宋体" w:cs="宋体"/>
          <w:b w:val="0"/>
          <w:bCs/>
          <w:color w:val="auto"/>
          <w:sz w:val="24"/>
          <w:szCs w:val="24"/>
          <w:highlight w:val="none"/>
        </w:rPr>
        <w:t>做好可行性研究报告，更加细化实施方案，严格执行资金管理办法和财政资金管理制度，严格按照项目实施方案、招投标管理办法等稳步推进工作，各部门单位根据自己项目的特点进行总结。</w:t>
      </w:r>
    </w:p>
    <w:p w14:paraId="718F69F1">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2.项目评价资料有待进一步完善。项目启动时同步做好档案的归纳与整理，及时整理、收集、汇总，健全档案资料。项目后续管理有待进一步加强和跟踪。</w:t>
      </w:r>
    </w:p>
    <w:p w14:paraId="0FC87741">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3.通过绩效管理，发现实施中存在漏洞，以后加强管理，及时掌握与之相关的各类信息，减少成本，使资金效益最大化。</w:t>
      </w:r>
    </w:p>
    <w:p w14:paraId="0AC54130">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highlight w:val="none"/>
        </w:rPr>
        <w:t>4．评价工作应从项目实施方案源头抓起，评价工作和意识应贯穿项目整个过程。</w:t>
      </w:r>
    </w:p>
    <w:p w14:paraId="7B38226C">
      <w:pPr>
        <w:pStyle w:val="2"/>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八、其他需要说明的问题</w:t>
      </w:r>
    </w:p>
    <w:p w14:paraId="66E6E0DE">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我单位对上述项目支出绩效评价报告内反映内容的真实性、完整性负责，</w:t>
      </w:r>
      <w:r>
        <w:rPr>
          <w:rFonts w:hint="eastAsia" w:ascii="宋体" w:hAnsi="宋体" w:eastAsia="宋体" w:cs="宋体"/>
          <w:b w:val="0"/>
          <w:bCs/>
          <w:color w:val="auto"/>
          <w:sz w:val="24"/>
          <w:szCs w:val="24"/>
          <w:highlight w:val="none"/>
          <w:lang w:val="en-US" w:eastAsia="zh-CN"/>
        </w:rPr>
        <w:t>愿</w:t>
      </w:r>
      <w:r>
        <w:rPr>
          <w:rFonts w:hint="eastAsia" w:ascii="宋体" w:hAnsi="宋体" w:eastAsia="宋体" w:cs="宋体"/>
          <w:b w:val="0"/>
          <w:bCs/>
          <w:color w:val="auto"/>
          <w:sz w:val="24"/>
          <w:szCs w:val="24"/>
          <w:highlight w:val="none"/>
        </w:rPr>
        <w:t>接受上级部门及社会公众监督。</w:t>
      </w:r>
    </w:p>
    <w:p w14:paraId="21D769BD">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p>
    <w:p w14:paraId="19014E37">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附件1：2024年土地指标跨省域调剂收入安排的支出预算项目绩效评价指标体系</w:t>
      </w:r>
    </w:p>
    <w:p w14:paraId="7C4B7584">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附件2：2024年土地指标跨省域调剂收入安排的支出预算项目综合得分表</w:t>
      </w:r>
    </w:p>
    <w:p w14:paraId="0CADC6C8">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附件3：满意度调查问分析情况</w:t>
      </w:r>
    </w:p>
    <w:p w14:paraId="4A36E50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sz w:val="24"/>
          <w:szCs w:val="24"/>
        </w:rPr>
      </w:pPr>
    </w:p>
    <w:p w14:paraId="6522B34C">
      <w:pPr>
        <w:pStyle w:val="10"/>
        <w:ind w:left="0" w:leftChars="0" w:firstLine="0" w:firstLineChars="0"/>
        <w:jc w:val="both"/>
        <w:rPr>
          <w:rFonts w:hint="eastAsia" w:ascii="宋体" w:hAnsi="宋体" w:eastAsia="宋体" w:cs="宋体"/>
          <w:b w:val="0"/>
          <w:bCs/>
          <w:color w:val="auto"/>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p w14:paraId="3BB926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p>
    <w:tbl>
      <w:tblPr>
        <w:tblStyle w:val="2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3"/>
        <w:gridCol w:w="545"/>
        <w:gridCol w:w="708"/>
        <w:gridCol w:w="470"/>
        <w:gridCol w:w="717"/>
        <w:gridCol w:w="527"/>
        <w:gridCol w:w="2928"/>
        <w:gridCol w:w="1118"/>
        <w:gridCol w:w="4270"/>
        <w:gridCol w:w="848"/>
        <w:gridCol w:w="644"/>
      </w:tblGrid>
      <w:tr w14:paraId="48886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tcBorders>
              <w:top w:val="nil"/>
              <w:left w:val="nil"/>
              <w:bottom w:val="nil"/>
              <w:right w:val="nil"/>
            </w:tcBorders>
            <w:noWrap/>
            <w:vAlign w:val="center"/>
          </w:tcPr>
          <w:p w14:paraId="72B29C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附件1：</w:t>
            </w:r>
          </w:p>
        </w:tc>
        <w:tc>
          <w:tcPr>
            <w:tcW w:w="204" w:type="pct"/>
            <w:tcBorders>
              <w:top w:val="nil"/>
              <w:left w:val="nil"/>
              <w:bottom w:val="nil"/>
              <w:right w:val="nil"/>
            </w:tcBorders>
            <w:noWrap/>
            <w:vAlign w:val="center"/>
          </w:tcPr>
          <w:p w14:paraId="0E9C96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p>
        </w:tc>
        <w:tc>
          <w:tcPr>
            <w:tcW w:w="265" w:type="pct"/>
            <w:tcBorders>
              <w:top w:val="nil"/>
              <w:left w:val="nil"/>
              <w:bottom w:val="nil"/>
              <w:right w:val="nil"/>
            </w:tcBorders>
            <w:noWrap/>
            <w:vAlign w:val="center"/>
          </w:tcPr>
          <w:p w14:paraId="3BF99D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p>
        </w:tc>
        <w:tc>
          <w:tcPr>
            <w:tcW w:w="176" w:type="pct"/>
            <w:tcBorders>
              <w:top w:val="nil"/>
              <w:left w:val="nil"/>
              <w:bottom w:val="nil"/>
              <w:right w:val="nil"/>
            </w:tcBorders>
            <w:noWrap/>
            <w:vAlign w:val="center"/>
          </w:tcPr>
          <w:p w14:paraId="2C8598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p>
        </w:tc>
        <w:tc>
          <w:tcPr>
            <w:tcW w:w="268" w:type="pct"/>
            <w:tcBorders>
              <w:top w:val="nil"/>
              <w:left w:val="nil"/>
              <w:bottom w:val="nil"/>
              <w:right w:val="nil"/>
            </w:tcBorders>
            <w:noWrap/>
            <w:vAlign w:val="center"/>
          </w:tcPr>
          <w:p w14:paraId="66EC2F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p>
        </w:tc>
        <w:tc>
          <w:tcPr>
            <w:tcW w:w="197" w:type="pct"/>
            <w:tcBorders>
              <w:top w:val="nil"/>
              <w:left w:val="nil"/>
              <w:bottom w:val="nil"/>
              <w:right w:val="nil"/>
            </w:tcBorders>
            <w:noWrap/>
            <w:vAlign w:val="center"/>
          </w:tcPr>
          <w:p w14:paraId="6892B1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p>
        </w:tc>
        <w:tc>
          <w:tcPr>
            <w:tcW w:w="1095" w:type="pct"/>
            <w:tcBorders>
              <w:top w:val="nil"/>
              <w:left w:val="nil"/>
              <w:bottom w:val="nil"/>
              <w:right w:val="nil"/>
            </w:tcBorders>
            <w:noWrap/>
            <w:vAlign w:val="center"/>
          </w:tcPr>
          <w:p w14:paraId="5C02BC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p>
        </w:tc>
        <w:tc>
          <w:tcPr>
            <w:tcW w:w="418" w:type="pct"/>
            <w:tcBorders>
              <w:top w:val="nil"/>
              <w:left w:val="nil"/>
              <w:bottom w:val="nil"/>
              <w:right w:val="nil"/>
            </w:tcBorders>
            <w:noWrap/>
            <w:vAlign w:val="center"/>
          </w:tcPr>
          <w:p w14:paraId="4E6B74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p>
        </w:tc>
        <w:tc>
          <w:tcPr>
            <w:tcW w:w="1597" w:type="pct"/>
            <w:tcBorders>
              <w:top w:val="nil"/>
              <w:left w:val="nil"/>
              <w:bottom w:val="nil"/>
              <w:right w:val="nil"/>
            </w:tcBorders>
            <w:noWrap/>
            <w:vAlign w:val="center"/>
          </w:tcPr>
          <w:p w14:paraId="5FC786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p>
        </w:tc>
        <w:tc>
          <w:tcPr>
            <w:tcW w:w="317" w:type="pct"/>
            <w:tcBorders>
              <w:top w:val="nil"/>
              <w:left w:val="nil"/>
              <w:bottom w:val="nil"/>
              <w:right w:val="nil"/>
            </w:tcBorders>
            <w:noWrap/>
            <w:vAlign w:val="center"/>
          </w:tcPr>
          <w:p w14:paraId="52F799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p>
        </w:tc>
        <w:tc>
          <w:tcPr>
            <w:tcW w:w="236" w:type="pct"/>
            <w:tcBorders>
              <w:top w:val="nil"/>
              <w:left w:val="nil"/>
              <w:bottom w:val="nil"/>
              <w:right w:val="nil"/>
            </w:tcBorders>
            <w:noWrap/>
            <w:vAlign w:val="center"/>
          </w:tcPr>
          <w:p w14:paraId="67D396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p>
        </w:tc>
      </w:tr>
      <w:tr w14:paraId="4C6A2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05DCDC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4"/>
                <w:szCs w:val="24"/>
                <w:highlight w:val="none"/>
                <w:u w:val="none"/>
                <w:lang w:val="en-US" w:eastAsia="zh-CN"/>
              </w:rPr>
              <w:t>2024年土地指标跨省域调剂收入安排的支出预算项目</w:t>
            </w:r>
            <w:r>
              <w:rPr>
                <w:rStyle w:val="60"/>
                <w:rFonts w:hint="eastAsia" w:ascii="宋体" w:hAnsi="宋体" w:eastAsia="宋体" w:cs="宋体"/>
                <w:color w:val="000000"/>
                <w:sz w:val="24"/>
                <w:szCs w:val="24"/>
                <w:highlight w:val="none"/>
                <w:lang w:val="en-US" w:eastAsia="zh-CN"/>
              </w:rPr>
              <w:t>绩效评价指标体系综合评分表</w:t>
            </w:r>
          </w:p>
        </w:tc>
      </w:tr>
      <w:tr w14:paraId="48906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2" w:type="pct"/>
            <w:tcBorders>
              <w:top w:val="single" w:color="auto" w:sz="4" w:space="0"/>
              <w:left w:val="single" w:color="auto" w:sz="4" w:space="0"/>
              <w:bottom w:val="single" w:color="auto" w:sz="4" w:space="0"/>
              <w:right w:val="single" w:color="auto" w:sz="4" w:space="0"/>
            </w:tcBorders>
            <w:noWrap w:val="0"/>
            <w:vAlign w:val="center"/>
          </w:tcPr>
          <w:p w14:paraId="3D6F56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14A238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49FDB0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76" w:type="pct"/>
            <w:tcBorders>
              <w:top w:val="single" w:color="auto" w:sz="4" w:space="0"/>
              <w:left w:val="single" w:color="auto" w:sz="4" w:space="0"/>
              <w:bottom w:val="single" w:color="auto" w:sz="4" w:space="0"/>
              <w:right w:val="single" w:color="auto" w:sz="4" w:space="0"/>
            </w:tcBorders>
            <w:noWrap w:val="0"/>
            <w:vAlign w:val="center"/>
          </w:tcPr>
          <w:p w14:paraId="53D5A6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2578C2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932D4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4E693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17844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2BB0B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3FA875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34B6B2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得分</w:t>
            </w:r>
          </w:p>
        </w:tc>
      </w:tr>
      <w:tr w14:paraId="3AAF5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3"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39217C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项目决策</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6DBE1D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23</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472C47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1CF5F1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01836B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D6DBF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1B611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BA382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1945BE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2B9CBF3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7E0D928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47B10A09">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17FC22D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7C79122B">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5FAC39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1F8031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50006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07091D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99978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35BBB1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6AB735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1AE114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0FB54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C7D95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68252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E1DB1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132A34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20A9A2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7BC09C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7AFC56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56D5FF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6B79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7"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44A915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0B605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7486A1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00C4DE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09A199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C0095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ACB5F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477B4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116AD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234DF1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0BC923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2099F4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5DD9B0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51DA07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58FBB1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22C47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2495FE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15D75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7C48E6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46F182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7E0D3B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A5977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60E0F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81407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412EE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7C3AA8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5789AA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033BB6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561DDA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0A1B9F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656CD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1F2FBB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749E0A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054D9A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资金投入</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65D246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8</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30712A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1DFB5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59BDE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D9177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AEAC2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2E14B6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03C016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529FD9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784448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219B3F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4CB33C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04E36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1E89FC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90BAC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438026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259AF9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3E0291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6B690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18B8F6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8017F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5F040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720004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741548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321CD0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2FA3E9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01152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140FD0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项目过程</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2F9DB8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12</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1B2C74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资金管理</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60D661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3FAC53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437CC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73464E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088B1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ADF4C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0C4834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16A90E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160C52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r>
      <w:tr w14:paraId="52ABB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9AB2D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28444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599251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37F363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68029B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14152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9C135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AED2A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29D3F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5F3F66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6A559C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rPr>
              <w:t>80.72%</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6FD950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1.61</w:t>
            </w:r>
          </w:p>
        </w:tc>
      </w:tr>
      <w:tr w14:paraId="7EE04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3DA98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3B499B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3732A2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03490D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3F069F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DC4C3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0B572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8B0F4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D079C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4021B7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563480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3F3ED4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3EE826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1EF730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535C82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60436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13704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07472B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5FEDE5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组织实施</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2057EF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490037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44726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639D45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A5FFD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7FA24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251C66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3997C9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37DC7B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1E1F23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4773A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C887E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4FE02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0BCCE9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47849B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207F87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AB24E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47612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D51C3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15BE31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5200FD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11413F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01CE38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317" w:type="pct"/>
            <w:tcBorders>
              <w:top w:val="single" w:color="auto" w:sz="4" w:space="0"/>
              <w:left w:val="single" w:color="auto" w:sz="4" w:space="0"/>
              <w:bottom w:val="single" w:color="auto" w:sz="4" w:space="0"/>
              <w:right w:val="single" w:color="auto" w:sz="4" w:space="0"/>
            </w:tcBorders>
            <w:noWrap w:val="0"/>
            <w:vAlign w:val="center"/>
          </w:tcPr>
          <w:p w14:paraId="36A174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236" w:type="pct"/>
            <w:tcBorders>
              <w:top w:val="single" w:color="auto" w:sz="4" w:space="0"/>
              <w:left w:val="single" w:color="auto" w:sz="4" w:space="0"/>
              <w:bottom w:val="single" w:color="auto" w:sz="4" w:space="0"/>
              <w:right w:val="single" w:color="auto" w:sz="4" w:space="0"/>
            </w:tcBorders>
            <w:noWrap w:val="0"/>
            <w:vAlign w:val="center"/>
          </w:tcPr>
          <w:p w14:paraId="7715F1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bl>
    <w:tbl>
      <w:tblPr>
        <w:tblStyle w:val="24"/>
        <w:tblpPr w:leftFromText="180" w:rightFromText="180" w:vertAnchor="text" w:horzAnchor="page" w:tblpX="1701" w:tblpY="35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85"/>
        <w:gridCol w:w="527"/>
        <w:gridCol w:w="524"/>
        <w:gridCol w:w="533"/>
        <w:gridCol w:w="648"/>
        <w:gridCol w:w="533"/>
        <w:gridCol w:w="2228"/>
        <w:gridCol w:w="1513"/>
        <w:gridCol w:w="3930"/>
        <w:gridCol w:w="1280"/>
        <w:gridCol w:w="667"/>
      </w:tblGrid>
      <w:tr w14:paraId="52BFC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restart"/>
            <w:tcBorders>
              <w:top w:val="single" w:color="auto" w:sz="4" w:space="0"/>
              <w:left w:val="single" w:color="auto" w:sz="4" w:space="0"/>
              <w:right w:val="single" w:color="auto" w:sz="4" w:space="0"/>
            </w:tcBorders>
            <w:noWrap w:val="0"/>
            <w:vAlign w:val="center"/>
          </w:tcPr>
          <w:p w14:paraId="0ED46C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项目产出</w:t>
            </w:r>
          </w:p>
        </w:tc>
        <w:tc>
          <w:tcPr>
            <w:tcW w:w="197" w:type="pct"/>
            <w:vMerge w:val="restart"/>
            <w:tcBorders>
              <w:top w:val="single" w:color="auto" w:sz="4" w:space="0"/>
              <w:left w:val="single" w:color="auto" w:sz="4" w:space="0"/>
              <w:right w:val="single" w:color="auto" w:sz="4" w:space="0"/>
            </w:tcBorders>
            <w:noWrap w:val="0"/>
            <w:vAlign w:val="center"/>
          </w:tcPr>
          <w:p w14:paraId="58991D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40</w:t>
            </w:r>
          </w:p>
        </w:tc>
        <w:tc>
          <w:tcPr>
            <w:tcW w:w="196" w:type="pct"/>
            <w:tcBorders>
              <w:top w:val="single" w:color="auto" w:sz="4" w:space="0"/>
              <w:left w:val="single" w:color="auto" w:sz="4" w:space="0"/>
              <w:right w:val="single" w:color="auto" w:sz="4" w:space="0"/>
            </w:tcBorders>
            <w:noWrap w:val="0"/>
            <w:vAlign w:val="center"/>
          </w:tcPr>
          <w:p w14:paraId="55EC80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产出数量</w:t>
            </w:r>
          </w:p>
        </w:tc>
        <w:tc>
          <w:tcPr>
            <w:tcW w:w="199" w:type="pct"/>
            <w:tcBorders>
              <w:top w:val="single" w:color="auto" w:sz="4" w:space="0"/>
              <w:left w:val="single" w:color="auto" w:sz="4" w:space="0"/>
              <w:right w:val="single" w:color="auto" w:sz="4" w:space="0"/>
            </w:tcBorders>
            <w:noWrap w:val="0"/>
            <w:vAlign w:val="center"/>
          </w:tcPr>
          <w:p w14:paraId="65F88E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tcBorders>
              <w:top w:val="single" w:color="auto" w:sz="4" w:space="0"/>
              <w:left w:val="single" w:color="auto" w:sz="4" w:space="0"/>
              <w:right w:val="single" w:color="auto" w:sz="4" w:space="0"/>
            </w:tcBorders>
            <w:noWrap w:val="0"/>
            <w:vAlign w:val="center"/>
          </w:tcPr>
          <w:p w14:paraId="18D3A3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74EAA7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lang w:val="en-US" w:eastAsia="zh-CN"/>
              </w:rPr>
              <w:t>1</w:t>
            </w:r>
            <w:r>
              <w:rPr>
                <w:rFonts w:hint="eastAsia" w:ascii="宋体" w:hAnsi="宋体" w:eastAsia="宋体" w:cs="宋体"/>
                <w:i w:val="0"/>
                <w:iCs w:val="0"/>
                <w:color w:val="000000"/>
                <w:sz w:val="18"/>
                <w:szCs w:val="18"/>
                <w:highlight w:val="none"/>
                <w:u w:val="none"/>
                <w:lang w:val="en-US" w:eastAsia="zh-CN"/>
              </w:rPr>
              <w:t>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937EF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涉及土地复垦项目地点数量</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542058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≥5个</w:t>
            </w:r>
          </w:p>
        </w:tc>
        <w:tc>
          <w:tcPr>
            <w:tcW w:w="1468" w:type="pct"/>
            <w:tcBorders>
              <w:top w:val="single" w:color="auto" w:sz="4" w:space="0"/>
              <w:left w:val="single" w:color="auto" w:sz="4" w:space="0"/>
              <w:right w:val="single" w:color="auto" w:sz="4" w:space="0"/>
            </w:tcBorders>
            <w:noWrap w:val="0"/>
            <w:vAlign w:val="center"/>
          </w:tcPr>
          <w:p w14:paraId="3DD287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21EB49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5个</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72848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6AA59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739D35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5FA7AF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6B8C29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产出质量</w:t>
            </w:r>
          </w:p>
        </w:tc>
        <w:tc>
          <w:tcPr>
            <w:tcW w:w="199" w:type="pct"/>
            <w:vMerge w:val="restart"/>
            <w:tcBorders>
              <w:top w:val="single" w:color="auto" w:sz="4" w:space="0"/>
              <w:left w:val="single" w:color="auto" w:sz="4" w:space="0"/>
              <w:right w:val="single" w:color="auto" w:sz="4" w:space="0"/>
            </w:tcBorders>
            <w:noWrap w:val="0"/>
            <w:vAlign w:val="center"/>
          </w:tcPr>
          <w:p w14:paraId="246921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6ACB34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5F2A54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68641E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资金使用合规率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326AFB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68" w:type="pct"/>
            <w:vMerge w:val="restart"/>
            <w:tcBorders>
              <w:top w:val="single" w:color="auto" w:sz="4" w:space="0"/>
              <w:left w:val="single" w:color="auto" w:sz="4" w:space="0"/>
              <w:right w:val="single" w:color="auto" w:sz="4" w:space="0"/>
            </w:tcBorders>
            <w:noWrap w:val="0"/>
            <w:vAlign w:val="center"/>
          </w:tcPr>
          <w:p w14:paraId="3414AB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723E47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693764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E0981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27C7B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left w:val="single" w:color="auto" w:sz="4" w:space="0"/>
              <w:bottom w:val="single" w:color="auto" w:sz="4" w:space="0"/>
              <w:right w:val="single" w:color="auto" w:sz="4" w:space="0"/>
            </w:tcBorders>
            <w:noWrap w:val="0"/>
            <w:vAlign w:val="center"/>
          </w:tcPr>
          <w:p w14:paraId="41DA89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7" w:type="pct"/>
            <w:vMerge w:val="continue"/>
            <w:tcBorders>
              <w:left w:val="single" w:color="auto" w:sz="4" w:space="0"/>
              <w:bottom w:val="single" w:color="auto" w:sz="4" w:space="0"/>
              <w:right w:val="single" w:color="auto" w:sz="4" w:space="0"/>
            </w:tcBorders>
            <w:noWrap w:val="0"/>
            <w:vAlign w:val="center"/>
          </w:tcPr>
          <w:p w14:paraId="254F17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6" w:type="pct"/>
            <w:vMerge w:val="continue"/>
            <w:tcBorders>
              <w:left w:val="single" w:color="auto" w:sz="4" w:space="0"/>
              <w:bottom w:val="single" w:color="auto" w:sz="4" w:space="0"/>
              <w:right w:val="single" w:color="auto" w:sz="4" w:space="0"/>
            </w:tcBorders>
            <w:noWrap w:val="0"/>
            <w:vAlign w:val="center"/>
          </w:tcPr>
          <w:p w14:paraId="1C7B41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9" w:type="pct"/>
            <w:vMerge w:val="continue"/>
            <w:tcBorders>
              <w:left w:val="single" w:color="auto" w:sz="4" w:space="0"/>
              <w:bottom w:val="single" w:color="auto" w:sz="4" w:space="0"/>
              <w:right w:val="single" w:color="auto" w:sz="4" w:space="0"/>
            </w:tcBorders>
            <w:noWrap w:val="0"/>
            <w:vAlign w:val="center"/>
          </w:tcPr>
          <w:p w14:paraId="5E577F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42" w:type="pct"/>
            <w:vMerge w:val="continue"/>
            <w:tcBorders>
              <w:left w:val="single" w:color="auto" w:sz="4" w:space="0"/>
              <w:bottom w:val="single" w:color="auto" w:sz="4" w:space="0"/>
              <w:right w:val="single" w:color="auto" w:sz="4" w:space="0"/>
            </w:tcBorders>
            <w:noWrap w:val="0"/>
            <w:vAlign w:val="center"/>
          </w:tcPr>
          <w:p w14:paraId="25897C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034039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09DF55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项目验收合格率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4C1CE94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=100%</w:t>
            </w:r>
          </w:p>
        </w:tc>
        <w:tc>
          <w:tcPr>
            <w:tcW w:w="1468" w:type="pct"/>
            <w:vMerge w:val="continue"/>
            <w:tcBorders>
              <w:left w:val="single" w:color="auto" w:sz="4" w:space="0"/>
              <w:right w:val="single" w:color="auto" w:sz="4" w:space="0"/>
            </w:tcBorders>
            <w:noWrap w:val="0"/>
            <w:vAlign w:val="center"/>
          </w:tcPr>
          <w:p w14:paraId="754CBA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49FD05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2C919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75B52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56F170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6CDC45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12EF6B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产出时效</w:t>
            </w:r>
          </w:p>
        </w:tc>
        <w:tc>
          <w:tcPr>
            <w:tcW w:w="199" w:type="pct"/>
            <w:vMerge w:val="restart"/>
            <w:tcBorders>
              <w:top w:val="single" w:color="auto" w:sz="4" w:space="0"/>
              <w:left w:val="single" w:color="auto" w:sz="4" w:space="0"/>
              <w:right w:val="single" w:color="auto" w:sz="4" w:space="0"/>
            </w:tcBorders>
            <w:noWrap w:val="0"/>
            <w:vAlign w:val="center"/>
          </w:tcPr>
          <w:p w14:paraId="294FB3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7ABFBC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2C23EE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0AAC39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项目完工时间</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1D4F31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1468" w:type="pct"/>
            <w:vMerge w:val="restart"/>
            <w:tcBorders>
              <w:top w:val="single" w:color="auto" w:sz="4" w:space="0"/>
              <w:left w:val="single" w:color="auto" w:sz="4" w:space="0"/>
              <w:right w:val="single" w:color="auto" w:sz="4" w:space="0"/>
            </w:tcBorders>
            <w:noWrap w:val="0"/>
            <w:vAlign w:val="center"/>
          </w:tcPr>
          <w:p w14:paraId="48BFD1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53CEE2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33886D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5FF61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590D8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18508C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3C92FE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6" w:type="pct"/>
            <w:vMerge w:val="continue"/>
            <w:tcBorders>
              <w:left w:val="single" w:color="auto" w:sz="4" w:space="0"/>
              <w:right w:val="single" w:color="auto" w:sz="4" w:space="0"/>
            </w:tcBorders>
            <w:noWrap w:val="0"/>
            <w:vAlign w:val="center"/>
          </w:tcPr>
          <w:p w14:paraId="11DB65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vMerge w:val="continue"/>
            <w:tcBorders>
              <w:left w:val="single" w:color="auto" w:sz="4" w:space="0"/>
              <w:right w:val="single" w:color="auto" w:sz="4" w:space="0"/>
            </w:tcBorders>
            <w:noWrap w:val="0"/>
            <w:vAlign w:val="center"/>
          </w:tcPr>
          <w:p w14:paraId="5A2E46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242" w:type="pct"/>
            <w:vMerge w:val="continue"/>
            <w:tcBorders>
              <w:left w:val="single" w:color="auto" w:sz="4" w:space="0"/>
              <w:right w:val="single" w:color="auto" w:sz="4" w:space="0"/>
            </w:tcBorders>
            <w:noWrap w:val="0"/>
            <w:vAlign w:val="center"/>
          </w:tcPr>
          <w:p w14:paraId="54015B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7B92F7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eastAsia="仿宋_GB2312"/>
                <w:highlight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BEE5D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资金支付及时率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16F92D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68" w:type="pct"/>
            <w:vMerge w:val="continue"/>
            <w:tcBorders>
              <w:left w:val="single" w:color="auto" w:sz="4" w:space="0"/>
              <w:right w:val="single" w:color="auto" w:sz="4" w:space="0"/>
            </w:tcBorders>
            <w:noWrap w:val="0"/>
            <w:vAlign w:val="center"/>
          </w:tcPr>
          <w:p w14:paraId="133451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720F57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1C68BB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r>
      <w:tr w14:paraId="3DAF0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7B8C92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11EE9E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tcBorders>
              <w:top w:val="single" w:color="auto" w:sz="4" w:space="0"/>
              <w:left w:val="single" w:color="auto" w:sz="4" w:space="0"/>
              <w:right w:val="single" w:color="auto" w:sz="4" w:space="0"/>
            </w:tcBorders>
            <w:noWrap w:val="0"/>
            <w:vAlign w:val="center"/>
          </w:tcPr>
          <w:p w14:paraId="28A36A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产出成本</w:t>
            </w:r>
          </w:p>
        </w:tc>
        <w:tc>
          <w:tcPr>
            <w:tcW w:w="199" w:type="pct"/>
            <w:tcBorders>
              <w:top w:val="single" w:color="auto" w:sz="4" w:space="0"/>
              <w:left w:val="single" w:color="auto" w:sz="4" w:space="0"/>
              <w:right w:val="single" w:color="auto" w:sz="4" w:space="0"/>
            </w:tcBorders>
            <w:noWrap w:val="0"/>
            <w:vAlign w:val="center"/>
          </w:tcPr>
          <w:p w14:paraId="75BAB1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tcBorders>
              <w:top w:val="single" w:color="auto" w:sz="4" w:space="0"/>
              <w:left w:val="single" w:color="auto" w:sz="4" w:space="0"/>
              <w:right w:val="single" w:color="auto" w:sz="4" w:space="0"/>
            </w:tcBorders>
            <w:noWrap w:val="0"/>
            <w:vAlign w:val="center"/>
          </w:tcPr>
          <w:p w14:paraId="6E968A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12A765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006B59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土地增减挂钩项目资金</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3630F2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≤936.81万元</w:t>
            </w:r>
          </w:p>
        </w:tc>
        <w:tc>
          <w:tcPr>
            <w:tcW w:w="1468" w:type="pct"/>
            <w:tcBorders>
              <w:top w:val="single" w:color="auto" w:sz="4" w:space="0"/>
              <w:left w:val="single" w:color="auto" w:sz="4" w:space="0"/>
              <w:right w:val="single" w:color="auto" w:sz="4" w:space="0"/>
            </w:tcBorders>
            <w:noWrap w:val="0"/>
            <w:vAlign w:val="center"/>
          </w:tcPr>
          <w:p w14:paraId="1D269C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0B6130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756.22万元</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970AC9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eastAsia="zh-CN"/>
              </w:rPr>
              <w:t>8.07</w:t>
            </w:r>
          </w:p>
        </w:tc>
      </w:tr>
      <w:tr w14:paraId="159A9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368" w:type="pct"/>
            <w:vMerge w:val="restart"/>
            <w:tcBorders>
              <w:top w:val="single" w:color="auto" w:sz="4" w:space="0"/>
              <w:left w:val="single" w:color="auto" w:sz="4" w:space="0"/>
              <w:bottom w:val="single" w:color="auto" w:sz="4" w:space="0"/>
              <w:right w:val="single" w:color="auto" w:sz="4" w:space="0"/>
            </w:tcBorders>
            <w:noWrap w:val="0"/>
            <w:vAlign w:val="center"/>
          </w:tcPr>
          <w:p w14:paraId="06AB5A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197" w:type="pct"/>
            <w:vMerge w:val="restart"/>
            <w:tcBorders>
              <w:top w:val="single" w:color="auto" w:sz="4" w:space="0"/>
              <w:left w:val="single" w:color="auto" w:sz="4" w:space="0"/>
              <w:bottom w:val="single" w:color="auto" w:sz="4" w:space="0"/>
              <w:right w:val="single" w:color="auto" w:sz="4" w:space="0"/>
            </w:tcBorders>
            <w:noWrap w:val="0"/>
            <w:vAlign w:val="center"/>
          </w:tcPr>
          <w:p w14:paraId="2C3A4D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196" w:type="pct"/>
            <w:vMerge w:val="restart"/>
            <w:tcBorders>
              <w:top w:val="single" w:color="auto" w:sz="4" w:space="0"/>
              <w:left w:val="single" w:color="auto" w:sz="4" w:space="0"/>
              <w:bottom w:val="single" w:color="auto" w:sz="4" w:space="0"/>
              <w:right w:val="single" w:color="auto" w:sz="4" w:space="0"/>
            </w:tcBorders>
            <w:noWrap w:val="0"/>
            <w:vAlign w:val="center"/>
          </w:tcPr>
          <w:p w14:paraId="0879C0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199" w:type="pct"/>
            <w:vMerge w:val="restart"/>
            <w:tcBorders>
              <w:top w:val="single" w:color="auto" w:sz="4" w:space="0"/>
              <w:left w:val="single" w:color="auto" w:sz="4" w:space="0"/>
              <w:bottom w:val="single" w:color="auto" w:sz="4" w:space="0"/>
              <w:right w:val="single" w:color="auto" w:sz="4" w:space="0"/>
            </w:tcBorders>
            <w:noWrap w:val="0"/>
            <w:vAlign w:val="center"/>
          </w:tcPr>
          <w:p w14:paraId="1E0BCC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412072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478C83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35E501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加快推进新农村建设</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2E8E27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效果显著</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15116B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49A338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效果显著</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7AF1574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r>
      <w:tr w14:paraId="7C84C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637CA4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4725F1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top w:val="single" w:color="auto" w:sz="4" w:space="0"/>
              <w:left w:val="single" w:color="auto" w:sz="4" w:space="0"/>
              <w:bottom w:val="single" w:color="auto" w:sz="4" w:space="0"/>
              <w:right w:val="single" w:color="auto" w:sz="4" w:space="0"/>
            </w:tcBorders>
            <w:noWrap w:val="0"/>
            <w:vAlign w:val="center"/>
          </w:tcPr>
          <w:p w14:paraId="6CD6CC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250DAD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tcBorders>
              <w:top w:val="single" w:color="auto" w:sz="4" w:space="0"/>
              <w:left w:val="single" w:color="auto" w:sz="4" w:space="0"/>
              <w:bottom w:val="single" w:color="auto" w:sz="4" w:space="0"/>
              <w:right w:val="single" w:color="auto" w:sz="4" w:space="0"/>
            </w:tcBorders>
            <w:noWrap w:val="0"/>
            <w:vAlign w:val="center"/>
          </w:tcPr>
          <w:p w14:paraId="19F5F4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0038B1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6DCD3A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受益群众满意度</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68D7AA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95%</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624CDC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43AA51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2C5F65C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282FD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trPr>
        <w:tc>
          <w:tcPr>
            <w:tcW w:w="368" w:type="pct"/>
            <w:tcBorders>
              <w:top w:val="single" w:color="auto" w:sz="4" w:space="0"/>
              <w:left w:val="single" w:color="auto" w:sz="4" w:space="0"/>
              <w:bottom w:val="single" w:color="auto" w:sz="4" w:space="0"/>
              <w:right w:val="single" w:color="auto" w:sz="4" w:space="0"/>
            </w:tcBorders>
            <w:noWrap w:val="0"/>
            <w:vAlign w:val="center"/>
          </w:tcPr>
          <w:p w14:paraId="6EA54C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5A8D1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96" w:type="pct"/>
            <w:tcBorders>
              <w:top w:val="single" w:color="auto" w:sz="4" w:space="0"/>
              <w:left w:val="single" w:color="auto" w:sz="4" w:space="0"/>
              <w:bottom w:val="single" w:color="auto" w:sz="4" w:space="0"/>
              <w:right w:val="single" w:color="auto" w:sz="4" w:space="0"/>
            </w:tcBorders>
            <w:noWrap w:val="0"/>
            <w:vAlign w:val="center"/>
          </w:tcPr>
          <w:p w14:paraId="63D8A0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533A07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3681F1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50D271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FD16C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65" w:type="pct"/>
            <w:tcBorders>
              <w:top w:val="single" w:color="auto" w:sz="4" w:space="0"/>
              <w:left w:val="single" w:color="auto" w:sz="4" w:space="0"/>
              <w:bottom w:val="single" w:color="auto" w:sz="4" w:space="0"/>
              <w:right w:val="single" w:color="auto" w:sz="4" w:space="0"/>
            </w:tcBorders>
            <w:noWrap w:val="0"/>
            <w:vAlign w:val="center"/>
          </w:tcPr>
          <w:p w14:paraId="0AF6F1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31E773CB">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65CCCA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5A6826C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97.68</w:t>
            </w:r>
          </w:p>
        </w:tc>
      </w:tr>
    </w:tbl>
    <w:p w14:paraId="29C8E477">
      <w:pPr>
        <w:pStyle w:val="10"/>
        <w:ind w:left="0" w:leftChars="0" w:firstLine="0" w:firstLineChars="0"/>
        <w:jc w:val="both"/>
        <w:rPr>
          <w:rFonts w:hint="eastAsia" w:ascii="宋体" w:hAnsi="宋体" w:eastAsia="宋体" w:cs="宋体"/>
          <w:b w:val="0"/>
          <w:bCs/>
          <w:color w:val="auto"/>
          <w:sz w:val="24"/>
          <w:szCs w:val="24"/>
          <w:lang w:eastAsia="zh-CN"/>
        </w:rPr>
      </w:pPr>
    </w:p>
    <w:p w14:paraId="5F5B4974">
      <w:pPr>
        <w:pStyle w:val="10"/>
        <w:ind w:left="0" w:leftChars="0" w:firstLine="0" w:firstLineChars="0"/>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附件2：</w:t>
      </w:r>
    </w:p>
    <w:tbl>
      <w:tblPr>
        <w:tblStyle w:val="24"/>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7C604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47509C2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1778" w:type="dxa"/>
            <w:tcBorders>
              <w:top w:val="nil"/>
              <w:left w:val="nil"/>
              <w:bottom w:val="nil"/>
              <w:right w:val="nil"/>
            </w:tcBorders>
            <w:noWrap/>
            <w:vAlign w:val="center"/>
          </w:tcPr>
          <w:p w14:paraId="0D637516">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2786" w:type="dxa"/>
            <w:tcBorders>
              <w:top w:val="nil"/>
              <w:left w:val="nil"/>
              <w:bottom w:val="nil"/>
              <w:right w:val="nil"/>
            </w:tcBorders>
            <w:noWrap/>
            <w:vAlign w:val="center"/>
          </w:tcPr>
          <w:p w14:paraId="5AA73946">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2314" w:type="dxa"/>
            <w:tcBorders>
              <w:top w:val="nil"/>
              <w:left w:val="nil"/>
              <w:bottom w:val="nil"/>
              <w:right w:val="nil"/>
            </w:tcBorders>
            <w:noWrap/>
            <w:vAlign w:val="center"/>
          </w:tcPr>
          <w:p w14:paraId="4E534EF2">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3449" w:type="dxa"/>
            <w:tcBorders>
              <w:top w:val="nil"/>
              <w:left w:val="nil"/>
              <w:bottom w:val="nil"/>
              <w:right w:val="nil"/>
            </w:tcBorders>
            <w:noWrap/>
            <w:vAlign w:val="center"/>
          </w:tcPr>
          <w:p w14:paraId="09ADEE6D">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c>
          <w:tcPr>
            <w:tcW w:w="1331" w:type="dxa"/>
            <w:tcBorders>
              <w:top w:val="nil"/>
              <w:left w:val="nil"/>
              <w:bottom w:val="nil"/>
              <w:right w:val="nil"/>
            </w:tcBorders>
            <w:noWrap/>
            <w:vAlign w:val="center"/>
          </w:tcPr>
          <w:p w14:paraId="35510E8D">
            <w:pPr>
              <w:keepNext w:val="0"/>
              <w:keepLines w:val="0"/>
              <w:pageBreakBefore w:val="0"/>
              <w:kinsoku/>
              <w:wordWrap/>
              <w:overflowPunct/>
              <w:topLinePunct w:val="0"/>
              <w:autoSpaceDE/>
              <w:autoSpaceDN/>
              <w:bidi w:val="0"/>
              <w:adjustRightInd/>
              <w:snapToGrid/>
              <w:spacing w:line="360" w:lineRule="auto"/>
              <w:ind w:firstLine="0" w:firstLineChars="0"/>
              <w:rPr>
                <w:rFonts w:hint="eastAsia" w:ascii="宋体" w:hAnsi="宋体" w:eastAsia="宋体" w:cs="宋体"/>
                <w:i w:val="0"/>
                <w:iCs w:val="0"/>
                <w:color w:val="000000"/>
                <w:sz w:val="22"/>
                <w:szCs w:val="22"/>
                <w:highlight w:val="none"/>
                <w:u w:val="none"/>
              </w:rPr>
            </w:pPr>
          </w:p>
        </w:tc>
      </w:tr>
      <w:tr w14:paraId="4DCFA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1DC1906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36"/>
                <w:szCs w:val="36"/>
                <w:highlight w:val="none"/>
                <w:u w:val="none"/>
              </w:rPr>
            </w:pPr>
            <w:r>
              <w:rPr>
                <w:rFonts w:hint="eastAsia" w:ascii="宋体" w:hAnsi="宋体" w:eastAsia="宋体" w:cs="宋体"/>
                <w:b/>
                <w:bCs/>
                <w:i w:val="0"/>
                <w:iCs w:val="0"/>
                <w:color w:val="000000"/>
                <w:kern w:val="0"/>
                <w:sz w:val="36"/>
                <w:szCs w:val="36"/>
                <w:highlight w:val="none"/>
                <w:u w:val="none"/>
                <w:lang w:val="en-US" w:eastAsia="zh-CN"/>
              </w:rPr>
              <w:t>2024年土地指标跨省域调剂收入安排的支出预算项目综合得分表</w:t>
            </w:r>
          </w:p>
        </w:tc>
      </w:tr>
      <w:tr w14:paraId="4C4C1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6690C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9D47ECD">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6A30F8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AC3C54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DD6C25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A36D2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合计</w:t>
            </w:r>
          </w:p>
        </w:tc>
      </w:tr>
      <w:tr w14:paraId="50A61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72050B9">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72201D8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7684E0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BBDFAF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34EADA2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8CAEF2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r>
      <w:tr w14:paraId="37A6A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909BAAD">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1F9F50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2AB499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rPr>
              <w:t>11.61</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6B792D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rPr>
              <w:t>38.07</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9739B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04A2AF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rPr>
              <w:t>97.68</w:t>
            </w:r>
          </w:p>
        </w:tc>
      </w:tr>
      <w:tr w14:paraId="38273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5C9E0CA">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both"/>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3689C5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3D89F7C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96.75%</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EC7777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95.18%</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7817A75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C82C8A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rPr>
              <w:t>97.68%</w:t>
            </w:r>
          </w:p>
        </w:tc>
      </w:tr>
    </w:tbl>
    <w:p w14:paraId="5FC677C6">
      <w:pPr>
        <w:bidi w:val="0"/>
        <w:jc w:val="left"/>
        <w:rPr>
          <w:rFonts w:hint="eastAsia"/>
          <w:lang w:eastAsia="zh-CN"/>
        </w:rPr>
        <w:sectPr>
          <w:pgSz w:w="16838" w:h="11906" w:orient="landscape"/>
          <w:pgMar w:top="1531" w:right="1985" w:bottom="1531" w:left="1701" w:header="851" w:footer="992" w:gutter="0"/>
          <w:pgNumType w:start="1"/>
          <w:cols w:space="720" w:num="1"/>
          <w:docGrid w:type="linesAndChars" w:linePitch="386" w:charSpace="0"/>
        </w:sectPr>
      </w:pPr>
    </w:p>
    <w:p w14:paraId="151CA26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附件3：</w:t>
      </w:r>
    </w:p>
    <w:p w14:paraId="0EE4533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bookmarkStart w:id="36" w:name="OLE_LINK33"/>
      <w:r>
        <w:rPr>
          <w:rFonts w:hint="eastAsia" w:ascii="宋体" w:hAnsi="宋体" w:eastAsia="宋体" w:cs="宋体"/>
          <w:b/>
          <w:bCs/>
          <w:color w:val="000000"/>
          <w:sz w:val="24"/>
          <w:szCs w:val="24"/>
          <w:highlight w:val="none"/>
          <w:lang w:val="en-US" w:eastAsia="zh-CN"/>
        </w:rPr>
        <w:t>2024年土地指标跨省域调剂收入安排的支出预算</w:t>
      </w:r>
      <w:bookmarkEnd w:id="36"/>
      <w:r>
        <w:rPr>
          <w:rFonts w:hint="eastAsia" w:ascii="宋体" w:hAnsi="宋体" w:eastAsia="宋体" w:cs="宋体"/>
          <w:b/>
          <w:bCs/>
          <w:color w:val="000000"/>
          <w:sz w:val="24"/>
          <w:szCs w:val="24"/>
          <w:highlight w:val="none"/>
          <w:lang w:val="en-US" w:eastAsia="zh-CN"/>
        </w:rPr>
        <w:t>项目</w:t>
      </w:r>
    </w:p>
    <w:p w14:paraId="1E252DD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2B287F4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p>
    <w:p w14:paraId="17BF638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为客观评价该项目的社会效果，了解项目受益群体对项目实施后的真实评价情况，对本项目开展满意度问卷调查。问卷调查工作情况如下。问卷调查工作情况如下：</w:t>
      </w:r>
    </w:p>
    <w:p w14:paraId="5114387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一、该问卷调查从2025年2月27日开始至2025年3月16日结束，调查问卷共设置3道题目。</w:t>
      </w:r>
    </w:p>
    <w:p w14:paraId="3ABE191B">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1C4B00E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本次调查的受益对象为农民。</w:t>
      </w:r>
    </w:p>
    <w:p w14:paraId="59AFFE4E">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0E49F8B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w:t>
      </w:r>
      <w:bookmarkStart w:id="37" w:name="OLE_LINK34"/>
      <w:r>
        <w:rPr>
          <w:rFonts w:hint="eastAsia" w:ascii="宋体" w:hAnsi="宋体" w:eastAsia="宋体" w:cs="宋体"/>
          <w:color w:val="000000"/>
          <w:sz w:val="24"/>
          <w:szCs w:val="24"/>
          <w:highlight w:val="none"/>
          <w:lang w:val="en-US" w:eastAsia="zh-CN"/>
        </w:rPr>
        <w:t>2024年土地指标跨省域调剂收入安排的支出预算</w:t>
      </w:r>
      <w:bookmarkEnd w:id="37"/>
      <w:r>
        <w:rPr>
          <w:rFonts w:hint="eastAsia" w:ascii="宋体" w:hAnsi="宋体" w:eastAsia="宋体" w:cs="宋体"/>
          <w:color w:val="000000"/>
          <w:sz w:val="24"/>
          <w:szCs w:val="24"/>
          <w:highlight w:val="none"/>
          <w:lang w:val="en-US" w:eastAsia="zh-CN"/>
        </w:rPr>
        <w:t>项目的对于乡村的发展是否满意?</w:t>
      </w:r>
    </w:p>
    <w:p w14:paraId="66ED1CA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w:t>
      </w:r>
      <w:bookmarkStart w:id="38" w:name="OLE_LINK35"/>
      <w:r>
        <w:rPr>
          <w:rFonts w:hint="eastAsia" w:ascii="宋体" w:hAnsi="宋体" w:eastAsia="宋体" w:cs="宋体"/>
          <w:color w:val="000000"/>
          <w:sz w:val="24"/>
          <w:szCs w:val="24"/>
          <w:highlight w:val="none"/>
          <w:lang w:val="en-US" w:eastAsia="zh-CN"/>
        </w:rPr>
        <w:t>2024年土地指标跨省域调剂收入安排的支出预算</w:t>
      </w:r>
      <w:bookmarkEnd w:id="38"/>
      <w:r>
        <w:rPr>
          <w:rFonts w:hint="eastAsia" w:ascii="宋体" w:hAnsi="宋体" w:eastAsia="宋体" w:cs="宋体"/>
          <w:color w:val="000000"/>
          <w:sz w:val="24"/>
          <w:szCs w:val="24"/>
          <w:highlight w:val="none"/>
          <w:lang w:val="en-US" w:eastAsia="zh-CN"/>
        </w:rPr>
        <w:t>项目的补偿款金额的是否满意？</w:t>
      </w:r>
    </w:p>
    <w:p w14:paraId="2CF2A92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③总的来说，您对目前2024年土地指标跨省域调剂收入安排的支出预算项目实施后的整体满意程度如何？</w:t>
      </w:r>
    </w:p>
    <w:p w14:paraId="5F5CB2A6">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464871D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问卷调查采取分层抽样和随机抽样相结合的方式进行。在全面调查开展之前会先进行论证，依据论证结果对问卷和抽样方案再进行一次修改和调整之后再付诸实施。</w:t>
      </w:r>
    </w:p>
    <w:p w14:paraId="1D450144">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1FF0ED3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为确保问卷调查的全面性和代表性，本次调查问卷调查采取随机抽样和分层抽样相结合方式进行。</w:t>
      </w:r>
    </w:p>
    <w:p w14:paraId="2EBFA3AE">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0F7C400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27D0B8E6">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53FE60D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4DF0BFF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第一个问题：该项统计有效问卷数量30份，选择非常满意的人数为25人。选择比较满意的人数为5人，选择一般的人数0人，选择不满意的人数0人，选择非常不满意的人数0人。</w:t>
      </w:r>
    </w:p>
    <w:p w14:paraId="7371397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704291E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第三个问题：该项统计有效问卷数量30份，选择非常满意的人数为20人。选择比较满意的人数为6人，选择一般的人数4人，选择不满意的人数0人，选择非常不满意的人数0人。</w:t>
      </w:r>
    </w:p>
    <w:p w14:paraId="203714B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08D55AD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bookmarkStart w:id="39" w:name="OLE_LINK32"/>
      <w:r>
        <w:rPr>
          <w:rFonts w:hint="eastAsia" w:ascii="宋体" w:hAnsi="宋体" w:eastAsia="宋体" w:cs="宋体"/>
          <w:color w:val="000000"/>
          <w:sz w:val="24"/>
          <w:szCs w:val="24"/>
          <w:highlight w:val="none"/>
          <w:lang w:val="en-US" w:eastAsia="zh-CN"/>
        </w:rPr>
        <w:t>2024年土地指标跨省域调剂收入安排的支出预算</w:t>
      </w:r>
      <w:bookmarkEnd w:id="39"/>
      <w:r>
        <w:rPr>
          <w:rFonts w:hint="eastAsia" w:ascii="宋体" w:hAnsi="宋体" w:eastAsia="宋体" w:cs="宋体"/>
          <w:color w:val="000000"/>
          <w:sz w:val="24"/>
          <w:szCs w:val="24"/>
          <w:highlight w:val="none"/>
          <w:lang w:val="en-US" w:eastAsia="zh-CN"/>
        </w:rPr>
        <w:t>项目针对受益人员发放30份调查问卷，最终统计受益人群满意度为100%。</w:t>
      </w:r>
    </w:p>
    <w:p w14:paraId="401E864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p>
    <w:p w14:paraId="0E72492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洛浦县自然资源局</w:t>
      </w:r>
    </w:p>
    <w:p w14:paraId="7ADEC91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2025年3月18日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9E294">
    <w:pPr>
      <w:pStyle w:val="15"/>
      <w:ind w:firstLine="36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550CCF72">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8AF21">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7B9A6990"/>
    <w:rsid w:val="7D8B5CE4"/>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qFormat="1"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3"/>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5"/>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6"/>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7"/>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3">
    <w:name w:val="Body Text First Indent 2"/>
    <w:basedOn w:val="4"/>
    <w:link w:val="34"/>
    <w:unhideWhenUsed/>
    <w:uiPriority w:val="0"/>
    <w:pPr>
      <w:ind w:firstLine="420"/>
    </w:pPr>
  </w:style>
  <w:style w:type="paragraph" w:styleId="4">
    <w:name w:val="Body Text Indent"/>
    <w:basedOn w:val="1"/>
    <w:link w:val="33"/>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8"/>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40"/>
    <w:unhideWhenUsed/>
    <w:uiPriority w:val="99"/>
    <w:rPr>
      <w:rFonts w:cs="Times New Roman"/>
      <w:kern w:val="0"/>
      <w:sz w:val="18"/>
      <w:szCs w:val="18"/>
    </w:rPr>
  </w:style>
  <w:style w:type="paragraph" w:styleId="15">
    <w:name w:val="footer"/>
    <w:basedOn w:val="1"/>
    <w:link w:val="41"/>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2"/>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qFormat/>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Normal (Web)"/>
    <w:basedOn w:val="1"/>
    <w:qFormat/>
    <w:uiPriority w:val="0"/>
    <w:pPr>
      <w:spacing w:before="100" w:beforeAutospacing="1" w:after="100" w:afterAutospacing="1"/>
      <w:ind w:left="0" w:right="0"/>
      <w:jc w:val="left"/>
    </w:pPr>
    <w:rPr>
      <w:kern w:val="0"/>
      <w:sz w:val="24"/>
      <w:lang w:val="en-US" w:eastAsia="zh-CN"/>
    </w:rPr>
  </w:style>
  <w:style w:type="paragraph" w:styleId="23">
    <w:name w:val="Title"/>
    <w:basedOn w:val="1"/>
    <w:next w:val="1"/>
    <w:link w:val="43"/>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22"/>
    <w:rPr>
      <w:b/>
    </w:rPr>
  </w:style>
  <w:style w:type="character" w:styleId="28">
    <w:name w:val="Hyperlink"/>
    <w:unhideWhenUsed/>
    <w:uiPriority w:val="99"/>
    <w:rPr>
      <w:color w:val="0000FF"/>
      <w:u w:val="single"/>
    </w:rPr>
  </w:style>
  <w:style w:type="paragraph" w:customStyle="1" w:styleId="29">
    <w:name w:val="Comment Text"/>
    <w:basedOn w:val="1"/>
    <w:link w:val="39"/>
    <w:unhideWhenUsed/>
    <w:uiPriority w:val="99"/>
    <w:rPr>
      <w:rFonts w:cs="Times New Roman"/>
      <w:kern w:val="0"/>
      <w:sz w:val="20"/>
      <w:szCs w:val="20"/>
    </w:rPr>
  </w:style>
  <w:style w:type="paragraph" w:customStyle="1" w:styleId="30">
    <w:name w:val="Comment Subject"/>
    <w:basedOn w:val="29"/>
    <w:next w:val="29"/>
    <w:link w:val="44"/>
    <w:unhideWhenUsed/>
    <w:uiPriority w:val="99"/>
    <w:rPr>
      <w:b/>
      <w:bCs/>
    </w:rPr>
  </w:style>
  <w:style w:type="character" w:customStyle="1" w:styleId="31">
    <w:name w:val="Comment Reference"/>
    <w:unhideWhenUsed/>
    <w:uiPriority w:val="99"/>
    <w:rPr>
      <w:sz w:val="16"/>
      <w:szCs w:val="16"/>
    </w:rPr>
  </w:style>
  <w:style w:type="character" w:customStyle="1" w:styleId="32">
    <w:name w:val="标题 1 Char"/>
    <w:link w:val="2"/>
    <w:uiPriority w:val="9"/>
    <w:rPr>
      <w:rFonts w:ascii="Times New Roman" w:hAnsi="Times New Roman" w:eastAsia="仿宋_GB2312" w:cs="Times New Roman"/>
      <w:b/>
      <w:bCs/>
      <w:kern w:val="44"/>
      <w:sz w:val="32"/>
      <w:szCs w:val="44"/>
    </w:rPr>
  </w:style>
  <w:style w:type="character" w:customStyle="1" w:styleId="33">
    <w:name w:val="正文文本缩进 Char"/>
    <w:link w:val="4"/>
    <w:semiHidden/>
    <w:uiPriority w:val="99"/>
    <w:rPr>
      <w:rFonts w:ascii="Calibri" w:hAnsi="Calibri" w:eastAsia="仿宋_GB2312" w:cs="黑体"/>
      <w:sz w:val="28"/>
    </w:rPr>
  </w:style>
  <w:style w:type="character" w:customStyle="1" w:styleId="34">
    <w:name w:val="正文首行缩进 2 Char"/>
    <w:link w:val="3"/>
    <w:qFormat/>
    <w:uiPriority w:val="0"/>
    <w:rPr>
      <w:rFonts w:ascii="Calibri" w:hAnsi="Calibri" w:eastAsia="仿宋_GB2312" w:cs="黑体"/>
      <w:sz w:val="28"/>
    </w:rPr>
  </w:style>
  <w:style w:type="character" w:customStyle="1" w:styleId="35">
    <w:name w:val="标题 2 Char"/>
    <w:link w:val="5"/>
    <w:uiPriority w:val="0"/>
    <w:rPr>
      <w:rFonts w:ascii="Cambria" w:hAnsi="Cambria" w:eastAsia="仿宋_GB2312" w:cs="Times New Roman"/>
      <w:b/>
      <w:bCs/>
      <w:kern w:val="0"/>
      <w:sz w:val="30"/>
      <w:szCs w:val="32"/>
    </w:rPr>
  </w:style>
  <w:style w:type="character" w:customStyle="1" w:styleId="36">
    <w:name w:val="标题 3 Char"/>
    <w:link w:val="6"/>
    <w:uiPriority w:val="9"/>
    <w:rPr>
      <w:rFonts w:ascii="Calibri" w:hAnsi="Calibri" w:eastAsia="仿宋_GB2312" w:cs="黑体"/>
      <w:bCs/>
      <w:sz w:val="28"/>
      <w:szCs w:val="32"/>
    </w:rPr>
  </w:style>
  <w:style w:type="character" w:customStyle="1" w:styleId="37">
    <w:name w:val="标题 4 Char"/>
    <w:link w:val="7"/>
    <w:semiHidden/>
    <w:uiPriority w:val="9"/>
    <w:rPr>
      <w:rFonts w:ascii="Cambria" w:hAnsi="Cambria" w:eastAsia="宋体" w:cs="Times New Roman"/>
      <w:b/>
      <w:bCs/>
      <w:sz w:val="28"/>
      <w:szCs w:val="28"/>
    </w:rPr>
  </w:style>
  <w:style w:type="character" w:customStyle="1" w:styleId="38">
    <w:name w:val="文档结构图 Char"/>
    <w:link w:val="9"/>
    <w:semiHidden/>
    <w:uiPriority w:val="99"/>
    <w:rPr>
      <w:rFonts w:ascii="宋体" w:hAnsi="Calibri" w:eastAsia="宋体" w:cs="黑体"/>
      <w:sz w:val="18"/>
      <w:szCs w:val="18"/>
    </w:rPr>
  </w:style>
  <w:style w:type="character" w:customStyle="1" w:styleId="39">
    <w:name w:val="批注文字 Char"/>
    <w:link w:val="29"/>
    <w:semiHidden/>
    <w:qFormat/>
    <w:uiPriority w:val="99"/>
    <w:rPr>
      <w:rFonts w:ascii="Calibri" w:hAnsi="Calibri" w:eastAsia="仿宋_GB2312" w:cs="黑体"/>
      <w:sz w:val="20"/>
      <w:szCs w:val="20"/>
    </w:rPr>
  </w:style>
  <w:style w:type="character" w:customStyle="1" w:styleId="40">
    <w:name w:val="批注框文本 Char"/>
    <w:link w:val="14"/>
    <w:semiHidden/>
    <w:uiPriority w:val="99"/>
    <w:rPr>
      <w:rFonts w:ascii="Calibri" w:hAnsi="Calibri" w:eastAsia="仿宋_GB2312" w:cs="黑体"/>
      <w:sz w:val="18"/>
      <w:szCs w:val="18"/>
    </w:rPr>
  </w:style>
  <w:style w:type="character" w:customStyle="1" w:styleId="41">
    <w:name w:val="页脚 Char"/>
    <w:link w:val="15"/>
    <w:uiPriority w:val="99"/>
    <w:rPr>
      <w:rFonts w:ascii="Calibri" w:hAnsi="Calibri" w:eastAsia="仿宋_GB2312" w:cs="黑体"/>
      <w:sz w:val="18"/>
      <w:szCs w:val="18"/>
    </w:rPr>
  </w:style>
  <w:style w:type="character" w:customStyle="1" w:styleId="42">
    <w:name w:val="页眉 Char"/>
    <w:link w:val="16"/>
    <w:uiPriority w:val="99"/>
    <w:rPr>
      <w:rFonts w:ascii="Calibri" w:hAnsi="Calibri" w:eastAsia="仿宋_GB2312" w:cs="黑体"/>
      <w:sz w:val="18"/>
      <w:szCs w:val="18"/>
    </w:rPr>
  </w:style>
  <w:style w:type="character" w:customStyle="1" w:styleId="43">
    <w:name w:val="标题 Char"/>
    <w:link w:val="23"/>
    <w:uiPriority w:val="10"/>
    <w:rPr>
      <w:rFonts w:ascii="Cambria" w:hAnsi="Cambria"/>
      <w:b/>
      <w:bCs/>
      <w:kern w:val="2"/>
      <w:sz w:val="32"/>
      <w:szCs w:val="32"/>
    </w:rPr>
  </w:style>
  <w:style w:type="character" w:customStyle="1" w:styleId="44">
    <w:name w:val="批注主题 Char"/>
    <w:link w:val="30"/>
    <w:semiHidden/>
    <w:uiPriority w:val="99"/>
    <w:rPr>
      <w:rFonts w:ascii="Calibri" w:hAnsi="Calibri" w:eastAsia="仿宋_GB2312" w:cs="黑体"/>
      <w:b/>
      <w:bCs/>
      <w:sz w:val="20"/>
      <w:szCs w:val="20"/>
    </w:rPr>
  </w:style>
  <w:style w:type="character" w:customStyle="1" w:styleId="45">
    <w:name w:val="闻政-正文一级标题 Char"/>
    <w:link w:val="46"/>
    <w:uiPriority w:val="3"/>
    <w:rPr>
      <w:rFonts w:ascii="黑体" w:hAnsi="黑体" w:eastAsia="黑体"/>
      <w:bCs/>
      <w:sz w:val="32"/>
      <w:szCs w:val="32"/>
    </w:rPr>
  </w:style>
  <w:style w:type="paragraph" w:customStyle="1" w:styleId="46">
    <w:name w:val="闻政-正文一级标题"/>
    <w:basedOn w:val="6"/>
    <w:next w:val="47"/>
    <w:link w:val="45"/>
    <w:qFormat/>
    <w:uiPriority w:val="3"/>
    <w:pPr>
      <w:spacing w:before="120" w:after="60" w:line="500" w:lineRule="exact"/>
      <w:ind w:firstLine="0" w:firstLineChars="0"/>
      <w:outlineLvl w:val="0"/>
    </w:pPr>
    <w:rPr>
      <w:rFonts w:ascii="黑体" w:hAnsi="黑体" w:eastAsia="黑体"/>
      <w:sz w:val="32"/>
    </w:rPr>
  </w:style>
  <w:style w:type="paragraph" w:customStyle="1" w:styleId="47">
    <w:name w:val="闻政-正文段落文字"/>
    <w:basedOn w:val="1"/>
    <w:link w:val="48"/>
    <w:qFormat/>
    <w:uiPriority w:val="3"/>
    <w:pPr>
      <w:spacing w:line="500" w:lineRule="exact"/>
      <w:ind w:firstLine="200"/>
    </w:pPr>
    <w:rPr>
      <w:rFonts w:ascii="Times New Roman" w:hAnsi="Times New Roman" w:cs="Times New Roman"/>
      <w:kern w:val="0"/>
      <w:szCs w:val="28"/>
    </w:rPr>
  </w:style>
  <w:style w:type="character" w:customStyle="1" w:styleId="48">
    <w:name w:val="闻政-正文段落文字 Char"/>
    <w:link w:val="47"/>
    <w:qFormat/>
    <w:uiPriority w:val="3"/>
    <w:rPr>
      <w:rFonts w:ascii="Times New Roman" w:hAnsi="Times New Roman" w:eastAsia="仿宋_GB2312"/>
      <w:sz w:val="28"/>
      <w:szCs w:val="28"/>
    </w:rPr>
  </w:style>
  <w:style w:type="character" w:customStyle="1" w:styleId="49">
    <w:name w:val="闻政-正文二级标题 Char"/>
    <w:link w:val="50"/>
    <w:qFormat/>
    <w:uiPriority w:val="3"/>
    <w:rPr>
      <w:rFonts w:ascii="Times New Roman" w:hAnsi="Times New Roman" w:eastAsia="仿宋_GB2312"/>
      <w:b/>
      <w:bCs/>
      <w:sz w:val="28"/>
      <w:szCs w:val="32"/>
    </w:rPr>
  </w:style>
  <w:style w:type="paragraph" w:customStyle="1" w:styleId="50">
    <w:name w:val="闻政-正文二级标题"/>
    <w:basedOn w:val="5"/>
    <w:next w:val="47"/>
    <w:link w:val="49"/>
    <w:qFormat/>
    <w:uiPriority w:val="3"/>
    <w:pPr>
      <w:spacing w:before="120" w:after="60" w:line="500" w:lineRule="exact"/>
      <w:ind w:left="200" w:leftChars="200" w:firstLine="0" w:firstLineChars="0"/>
    </w:pPr>
    <w:rPr>
      <w:rFonts w:ascii="Times New Roman" w:hAnsi="Times New Roman"/>
      <w:sz w:val="28"/>
    </w:rPr>
  </w:style>
  <w:style w:type="character" w:customStyle="1" w:styleId="51">
    <w:name w:val="font11"/>
    <w:uiPriority w:val="0"/>
    <w:rPr>
      <w:rFonts w:hint="eastAsia" w:ascii="方正仿宋_GBK" w:hAnsi="方正仿宋_GBK" w:eastAsia="方正仿宋_GBK" w:cs="方正仿宋_GBK"/>
      <w:color w:val="000000"/>
      <w:sz w:val="24"/>
      <w:szCs w:val="24"/>
      <w:u w:val="none"/>
    </w:rPr>
  </w:style>
  <w:style w:type="character" w:customStyle="1" w:styleId="52">
    <w:name w:val="52"/>
    <w:qFormat/>
    <w:uiPriority w:val="0"/>
    <w:rPr>
      <w:b/>
      <w:bCs/>
      <w:smallCaps/>
      <w:color w:val="C0504D"/>
      <w:spacing w:val="5"/>
      <w:u w:val="single"/>
    </w:rPr>
  </w:style>
  <w:style w:type="character" w:customStyle="1" w:styleId="53">
    <w:name w:val="闻政-正文三级标题 Char"/>
    <w:link w:val="54"/>
    <w:uiPriority w:val="3"/>
    <w:rPr>
      <w:rFonts w:ascii="Times New Roman" w:hAnsi="Times New Roman" w:eastAsia="仿宋_GB2312"/>
      <w:b/>
      <w:snapToGrid w:val="0"/>
      <w:sz w:val="28"/>
      <w:szCs w:val="28"/>
    </w:rPr>
  </w:style>
  <w:style w:type="paragraph" w:customStyle="1" w:styleId="54">
    <w:name w:val="闻政-正文三级标题"/>
    <w:basedOn w:val="1"/>
    <w:next w:val="47"/>
    <w:link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5">
    <w:name w:val="font21"/>
    <w:qFormat/>
    <w:uiPriority w:val="0"/>
    <w:rPr>
      <w:rFonts w:hint="default" w:ascii="Times New Roman" w:hAnsi="Times New Roman" w:cs="Times New Roman"/>
      <w:color w:val="000000"/>
      <w:sz w:val="24"/>
      <w:szCs w:val="24"/>
      <w:u w:val="none"/>
    </w:rPr>
  </w:style>
  <w:style w:type="character" w:customStyle="1" w:styleId="56">
    <w:name w:val="无间隔 Char"/>
    <w:link w:val="57"/>
    <w:qFormat/>
    <w:uiPriority w:val="1"/>
    <w:rPr>
      <w:rFonts w:eastAsia="仿宋_GB2312" w:cs="黑体"/>
      <w:kern w:val="2"/>
      <w:sz w:val="28"/>
      <w:szCs w:val="22"/>
      <w:lang w:val="en-US" w:eastAsia="zh-CN" w:bidi="ar-SA"/>
    </w:rPr>
  </w:style>
  <w:style w:type="paragraph" w:styleId="57">
    <w:name w:val="No Spacing"/>
    <w:link w:val="56"/>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8">
    <w:name w:val="List Paragraph"/>
    <w:basedOn w:val="1"/>
    <w:qFormat/>
    <w:uiPriority w:val="34"/>
    <w:pPr>
      <w:ind w:firstLine="420"/>
    </w:pPr>
  </w:style>
  <w:style w:type="paragraph" w:customStyle="1" w:styleId="59">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60">
    <w:name w:val="font71"/>
    <w:basedOn w:val="26"/>
    <w:qFormat/>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9EB468236DF94E6D930C26D03E17866C_13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d1eab5-f2f3-4ec2-94db-e88c7786733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13884</Words>
  <Characters>14875</Characters>
  <Lines>44</Lines>
  <Paragraphs>12</Paragraphs>
  <TotalTime>1</TotalTime>
  <ScaleCrop>false</ScaleCrop>
  <LinksUpToDate>false</LinksUpToDate>
  <CharactersWithSpaces>14875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2025-10-10T09:24:31Z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9EB468236DF94E6D930C26D03E17866C_13</vt:lpwstr>
  </property>
  <property fmtid="{D5CDD505-2E9C-101B-9397-08002B2CF9AE}" pid="4" name="KSOTemplateDocerSaveRecord">
    <vt:lpwstr>eyJoZGlkIjoiZjI4ZjY1NWRiNTQyNDBlYWU5NDY3ZjVmZWI1YjMzMzIiLCJ1c2VySWQiOiI0MzE2NzY3NzkifQ==</vt:lpwstr>
  </property>
</Properties>
</file>